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76" w:rsidRPr="00732EF1" w:rsidRDefault="00A01AA8" w:rsidP="009E00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EF1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69691B" w:rsidRPr="00732EF1">
        <w:rPr>
          <w:rFonts w:ascii="Times New Roman" w:hAnsi="Times New Roman" w:cs="Times New Roman"/>
          <w:sz w:val="24"/>
          <w:szCs w:val="24"/>
        </w:rPr>
        <w:t xml:space="preserve">Table 1, Figure </w:t>
      </w:r>
      <w:r w:rsidR="00732EF1">
        <w:rPr>
          <w:rFonts w:ascii="Times New Roman" w:hAnsi="Times New Roman" w:cs="Times New Roman" w:hint="eastAsia"/>
          <w:sz w:val="24"/>
          <w:szCs w:val="24"/>
          <w:lang w:eastAsia="zh-CN"/>
        </w:rPr>
        <w:t>1</w:t>
      </w:r>
      <w:r w:rsidR="0069691B" w:rsidRPr="00732EF1">
        <w:rPr>
          <w:rFonts w:ascii="Times New Roman" w:hAnsi="Times New Roman" w:cs="Times New Roman"/>
          <w:sz w:val="24"/>
          <w:szCs w:val="24"/>
        </w:rPr>
        <w:t xml:space="preserve">, Figure </w:t>
      </w:r>
      <w:r w:rsidR="00732EF1">
        <w:rPr>
          <w:rFonts w:ascii="Times New Roman" w:hAnsi="Times New Roman" w:cs="Times New Roman" w:hint="eastAsia"/>
          <w:sz w:val="24"/>
          <w:szCs w:val="24"/>
          <w:lang w:eastAsia="zh-CN"/>
        </w:rPr>
        <w:t>2</w:t>
      </w:r>
      <w:r w:rsidR="0069691B" w:rsidRPr="00732EF1">
        <w:rPr>
          <w:rFonts w:ascii="Times New Roman" w:hAnsi="Times New Roman" w:cs="Times New Roman"/>
          <w:sz w:val="24"/>
          <w:szCs w:val="24"/>
        </w:rPr>
        <w:t xml:space="preserve"> for </w:t>
      </w:r>
      <w:r w:rsidR="009E0082" w:rsidRPr="00732EF1">
        <w:rPr>
          <w:rFonts w:ascii="Times New Roman" w:hAnsi="Times New Roman" w:cs="Times New Roman"/>
          <w:b/>
          <w:sz w:val="24"/>
          <w:szCs w:val="24"/>
        </w:rPr>
        <w:t>bone marrow features in patients with acute myeloid leukemia treated with novel targeted isocitrate dehydrogenase 1/2 inhibitors</w:t>
      </w:r>
    </w:p>
    <w:tbl>
      <w:tblPr>
        <w:tblStyle w:val="a3"/>
        <w:tblW w:w="0" w:type="auto"/>
        <w:tblInd w:w="-185" w:type="dxa"/>
        <w:tblLayout w:type="fixed"/>
        <w:tblLook w:val="04A0"/>
      </w:tblPr>
      <w:tblGrid>
        <w:gridCol w:w="720"/>
        <w:gridCol w:w="990"/>
        <w:gridCol w:w="900"/>
        <w:gridCol w:w="900"/>
        <w:gridCol w:w="630"/>
        <w:gridCol w:w="3330"/>
        <w:gridCol w:w="3150"/>
        <w:gridCol w:w="1260"/>
        <w:gridCol w:w="1255"/>
      </w:tblGrid>
      <w:tr w:rsidR="000654B9" w:rsidRPr="00732EF1" w:rsidTr="00B67C2C">
        <w:tc>
          <w:tcPr>
            <w:tcW w:w="720" w:type="dxa"/>
          </w:tcPr>
          <w:p w:rsidR="000654B9" w:rsidRPr="00732EF1" w:rsidRDefault="000654B9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Patient</w:t>
            </w:r>
          </w:p>
        </w:tc>
        <w:tc>
          <w:tcPr>
            <w:tcW w:w="990" w:type="dxa"/>
          </w:tcPr>
          <w:p w:rsidR="000654B9" w:rsidRPr="00732EF1" w:rsidRDefault="000654B9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Date</w:t>
            </w:r>
          </w:p>
        </w:tc>
        <w:tc>
          <w:tcPr>
            <w:tcW w:w="900" w:type="dxa"/>
          </w:tcPr>
          <w:p w:rsidR="000654B9" w:rsidRPr="00732EF1" w:rsidRDefault="000654B9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Diagnosis</w:t>
            </w:r>
          </w:p>
        </w:tc>
        <w:tc>
          <w:tcPr>
            <w:tcW w:w="900" w:type="dxa"/>
          </w:tcPr>
          <w:p w:rsidR="000654B9" w:rsidRPr="00732EF1" w:rsidRDefault="000654B9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Cellularity (%)</w:t>
            </w:r>
          </w:p>
        </w:tc>
        <w:tc>
          <w:tcPr>
            <w:tcW w:w="630" w:type="dxa"/>
          </w:tcPr>
          <w:p w:rsidR="000654B9" w:rsidRPr="00732EF1" w:rsidRDefault="000654B9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Blast (%)</w:t>
            </w:r>
          </w:p>
        </w:tc>
        <w:tc>
          <w:tcPr>
            <w:tcW w:w="3330" w:type="dxa"/>
          </w:tcPr>
          <w:p w:rsidR="000654B9" w:rsidRPr="00732EF1" w:rsidRDefault="000654B9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Flow Cytometry Results</w:t>
            </w:r>
          </w:p>
        </w:tc>
        <w:tc>
          <w:tcPr>
            <w:tcW w:w="3150" w:type="dxa"/>
          </w:tcPr>
          <w:p w:rsidR="000654B9" w:rsidRPr="00732EF1" w:rsidRDefault="000654B9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Cytogenetics</w:t>
            </w:r>
          </w:p>
        </w:tc>
        <w:tc>
          <w:tcPr>
            <w:tcW w:w="1260" w:type="dxa"/>
          </w:tcPr>
          <w:p w:rsidR="000654B9" w:rsidRPr="00732EF1" w:rsidRDefault="000654B9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FISH</w:t>
            </w:r>
          </w:p>
        </w:tc>
        <w:tc>
          <w:tcPr>
            <w:tcW w:w="1255" w:type="dxa"/>
          </w:tcPr>
          <w:p w:rsidR="000654B9" w:rsidRPr="00732EF1" w:rsidRDefault="000654B9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Molecular (VAF)</w:t>
            </w:r>
          </w:p>
        </w:tc>
      </w:tr>
      <w:tr w:rsidR="00DC75B5" w:rsidRPr="00732EF1" w:rsidTr="00B67C2C">
        <w:tc>
          <w:tcPr>
            <w:tcW w:w="720" w:type="dxa"/>
            <w:vMerge w:val="restart"/>
          </w:tcPr>
          <w:p w:rsidR="00DC75B5" w:rsidRPr="00732EF1" w:rsidRDefault="00201169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:rsidR="00DC75B5" w:rsidRPr="00732EF1" w:rsidRDefault="00E825CB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 xml:space="preserve"> Diagnostic Bone Marrow Biopsy</w:t>
            </w:r>
          </w:p>
        </w:tc>
        <w:tc>
          <w:tcPr>
            <w:tcW w:w="900" w:type="dxa"/>
          </w:tcPr>
          <w:p w:rsidR="00DC75B5" w:rsidRPr="00732EF1" w:rsidRDefault="00DC75B5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AML, NOS</w:t>
            </w:r>
          </w:p>
        </w:tc>
        <w:tc>
          <w:tcPr>
            <w:tcW w:w="900" w:type="dxa"/>
          </w:tcPr>
          <w:p w:rsidR="00DC75B5" w:rsidRPr="00732EF1" w:rsidRDefault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5</w:t>
            </w:r>
            <w:r w:rsidR="0039755B" w:rsidRPr="00732EF1"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:rsidR="00DC75B5" w:rsidRPr="00732EF1" w:rsidRDefault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6</w:t>
            </w:r>
            <w:r w:rsidR="0039755B" w:rsidRPr="00732EF1">
              <w:rPr>
                <w:sz w:val="16"/>
                <w:szCs w:val="16"/>
              </w:rPr>
              <w:t>0</w:t>
            </w:r>
          </w:p>
        </w:tc>
        <w:tc>
          <w:tcPr>
            <w:tcW w:w="3330" w:type="dxa"/>
          </w:tcPr>
          <w:p w:rsidR="00DC75B5" w:rsidRPr="00732EF1" w:rsidRDefault="002101C6" w:rsidP="000E6B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p</w:t>
            </w:r>
            <w:r w:rsidR="00DC75B5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ositive for CD34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partial</w:t>
            </w:r>
            <w:r w:rsidR="00DC75B5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, CD13, CD33, HLA-DR, CD38, CD11c, CD117, CD64 dim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; </w:t>
            </w:r>
            <w:r w:rsidR="000E6B45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lasts negative for cCD3, CD56, cCD79a, TdT, MPO</w:t>
            </w:r>
          </w:p>
        </w:tc>
        <w:tc>
          <w:tcPr>
            <w:tcW w:w="3150" w:type="dxa"/>
          </w:tcPr>
          <w:p w:rsidR="00DC75B5" w:rsidRPr="00732EF1" w:rsidRDefault="00DC75B5" w:rsidP="000654B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47,XX,+8[1</w:t>
            </w:r>
            <w:r w:rsidR="002101C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7]/46,XX[3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]</w:t>
            </w:r>
          </w:p>
          <w:p w:rsidR="00DC75B5" w:rsidRPr="00732EF1" w:rsidRDefault="00DC75B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DC75B5" w:rsidRPr="00732EF1" w:rsidRDefault="00DC75B5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DC75B5" w:rsidRPr="00732EF1" w:rsidRDefault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DNMT3A, IDH2, BCOR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824340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22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40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50</w:t>
            </w:r>
          </w:p>
        </w:tc>
        <w:tc>
          <w:tcPr>
            <w:tcW w:w="333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positive for CD34, CD13, CD33, HLA-DR, CD38, CD11c, CD117, CD64 dim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47,XX,+8[1]/46,XX[19]</w:t>
            </w:r>
          </w:p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6D0993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165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30-40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333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Proportionally increased basophils (4.4% of leukocytes) with mild immunophenotypic alterations identified on myeloid blasts (3.8% of leukocytes) with mildly increased CD4, CD33, and CD123, and mildly decreased expression of HLA-DR, and CD7 expressed on a minor subset; monocytes proportionally increased 17.3% with myeloid and monocytic left shift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46,XX[20]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Negative for +8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6D0993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 xml:space="preserve"> Day 188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10-20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333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Proportionally increased basophils with mild immunophenotypic alterations identified on myeloid blasts (2.3%) including mildly increased CD33 and CD123, and slightly decreased HLA-DR, and CD7 on a subset.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46,XX[20]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Negative for IDH2 mutation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905DAB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312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20-40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333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No abnormal myeloid blast population identified</w:t>
            </w:r>
          </w:p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Negative for +8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Negative for IDH2 mutation</w:t>
            </w:r>
          </w:p>
        </w:tc>
      </w:tr>
      <w:tr w:rsidR="002101C6" w:rsidRPr="00732EF1" w:rsidTr="00B67C2C">
        <w:tc>
          <w:tcPr>
            <w:tcW w:w="720" w:type="dxa"/>
            <w:vMerge w:val="restart"/>
          </w:tcPr>
          <w:p w:rsidR="002101C6" w:rsidRPr="00732EF1" w:rsidRDefault="00201169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2101C6" w:rsidRPr="00732EF1" w:rsidRDefault="00E825CB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Diagnostic Bone Marrow Biopsy</w:t>
            </w:r>
            <w:r w:rsidR="00D4654A" w:rsidRPr="00732EF1">
              <w:rPr>
                <w:sz w:val="16"/>
                <w:szCs w:val="16"/>
              </w:rPr>
              <w:t xml:space="preserve"> (outside facility)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AML-MRC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40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20</w:t>
            </w:r>
          </w:p>
        </w:tc>
        <w:tc>
          <w:tcPr>
            <w:tcW w:w="3330" w:type="dxa"/>
          </w:tcPr>
          <w:p w:rsidR="002101C6" w:rsidRPr="00732EF1" w:rsidRDefault="00094AE6" w:rsidP="00094A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p</w:t>
            </w:r>
            <w:r w:rsidR="002101C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ositive for CD13, CD33, CD34, CD38, CD45 dim, CD117, HLA-DR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46,XY[20]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Positive for 20q- [6/200]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B264D1" w:rsidRPr="00732EF1" w:rsidRDefault="006E68C5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Diagnostic Bone Marrow Biopsy (onsite)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40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20</w:t>
            </w:r>
          </w:p>
        </w:tc>
        <w:tc>
          <w:tcPr>
            <w:tcW w:w="3330" w:type="dxa"/>
          </w:tcPr>
          <w:p w:rsidR="002101C6" w:rsidRPr="00732EF1" w:rsidRDefault="00094AE6" w:rsidP="00094A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p</w:t>
            </w:r>
            <w:r w:rsidR="002101C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ositive for CD13 dim, CD33 dim partial, CD34, CD36 partial, CD38, C</w:t>
            </w:r>
            <w:r w:rsidR="000E6B45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D117, HLA-DR, and MPO partial; blasts n</w:t>
            </w:r>
            <w:r w:rsidR="002101C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egative for CD14, CD56, TdT, and lymphoid markers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Negative for 20q-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IDH2</w:t>
            </w:r>
            <w:r w:rsidR="000E6B45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R140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(42%), STAG2 (84%)</w:t>
            </w:r>
          </w:p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B264D1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1</w:t>
            </w:r>
            <w:r w:rsidR="00E8717D" w:rsidRPr="00732EF1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&lt;10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10-15</w:t>
            </w:r>
          </w:p>
        </w:tc>
        <w:tc>
          <w:tcPr>
            <w:tcW w:w="333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Abnormal myeloid blasts with CD15 (small subset), CD33 decreased, CD38 decreased to absent, CD45 decreased, CD71 decreased, CD117 decreased, CD123 decreased, normal CD13, CD34, HLA-DR; negative for CD4, CD5, CD7, CD14, CD16, CD19, CD56, CD64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46,XY[8]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E3874" w:rsidRPr="00732EF1" w:rsidRDefault="002E3874" w:rsidP="002101C6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732EF1">
              <w:rPr>
                <w:sz w:val="16"/>
                <w:szCs w:val="16"/>
              </w:rPr>
              <w:t>Day 2</w:t>
            </w:r>
            <w:r w:rsidR="002737CE" w:rsidRPr="00732EF1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20</w:t>
            </w:r>
          </w:p>
        </w:tc>
        <w:tc>
          <w:tcPr>
            <w:tcW w:w="3330" w:type="dxa"/>
          </w:tcPr>
          <w:p w:rsidR="002101C6" w:rsidRPr="00732EF1" w:rsidRDefault="00094AE6" w:rsidP="00094A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p</w:t>
            </w:r>
            <w:r w:rsidR="002101C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ositive for CD45 dim, CD13, CD33 dim </w:t>
            </w:r>
            <w:r w:rsidR="002101C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partial, CD</w:t>
            </w:r>
            <w:r w:rsidR="000E6B45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34, CD36, CD38, CD117 partial; blasts n</w:t>
            </w:r>
            <w:r w:rsidR="002101C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egative for CD14, MPO, TdT, lymphoid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lastRenderedPageBreak/>
              <w:t>ND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2E3874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 xml:space="preserve"> Day 5</w:t>
            </w:r>
            <w:r w:rsidR="00A17C6C" w:rsidRPr="00732EF1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&lt;10-30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3330" w:type="dxa"/>
          </w:tcPr>
          <w:p w:rsidR="002101C6" w:rsidRPr="00732EF1" w:rsidRDefault="002101C6" w:rsidP="00094A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2.7% abnormal myeloid blasts 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with 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CD15 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small subset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, CD33 decreased, CD34 decreased, CD38 absent, CD45 decreased, CD117 decreased, HLA-DR slightly decreased, with normal CD13, CD71, CD123; negative for CD4, CD5, CD7, CD14, CD16, CD19, CD56, CD64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46,XY[20]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Negative for 20q-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A80DE3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93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30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3330" w:type="dxa"/>
          </w:tcPr>
          <w:p w:rsidR="002101C6" w:rsidRPr="00732EF1" w:rsidRDefault="002101C6" w:rsidP="00094A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6.1% abnormal myeloid blasts with CD13 mildly decreased, CD15 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small subset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, CD33 slightly decreased, CD34 variable slightly decreased, CD38 variably decreased, CD45 decreased, CD117 decreased, CD123 variable, with normal CD13, CD71, HLA-DR; small subset (0.3%)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of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CD34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positive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blasts expresses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cCD3, CD5 dim, CD7 bright; negative for CD4, CD14, CD16, CD19, CD56, CD64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A80DE3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181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10-40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3330" w:type="dxa"/>
          </w:tcPr>
          <w:p w:rsidR="002101C6" w:rsidRPr="00732EF1" w:rsidRDefault="002101C6" w:rsidP="00094A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1.1% abnormal myeloid blasts with CD13 decreased, CD15 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small subset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, CD33 variable decreased, CD34 decreased, CD38 large subset absent, CD45 decreased, CD71 large subset absent, CD117 decreased, CD123 variably decreased, with normal HLA-DR; small subset 0.07% of CD34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positive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blasts expresses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bright CD7, intermediate CD5; negative for CD4, CD14, CD16, CD19, CD56, CD64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46,XY[20]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726FC4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306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20-30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3330" w:type="dxa"/>
          </w:tcPr>
          <w:p w:rsidR="002101C6" w:rsidRPr="00732EF1" w:rsidRDefault="002101C6" w:rsidP="00094A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0.46% abnormal myeloid blasts with CD15 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small subset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, CD33 slightly decreased, CD34 decreased, CD38 low to absent, CD45 decreased, CD71 large subset absent, CD117 decreased, CD123 decreased, with normal CD13, HLA-DR; small subset 0.13% of CD34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positive </w:t>
            </w:r>
            <w:r w:rsidR="00094AE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expresses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bright CD7 and intermediate CD5; negative for CD4, CD14, CD16, CD19, CD56, CD64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46,XY[20]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2101C6" w:rsidRPr="00732EF1" w:rsidTr="00B67C2C">
        <w:tc>
          <w:tcPr>
            <w:tcW w:w="720" w:type="dxa"/>
            <w:vMerge w:val="restart"/>
          </w:tcPr>
          <w:p w:rsidR="002101C6" w:rsidRPr="00732EF1" w:rsidRDefault="00201169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:rsidR="002101C6" w:rsidRPr="00732EF1" w:rsidRDefault="00E825CB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Diagnostic Bone Marrow Biopsy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AML-MRC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95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32</w:t>
            </w:r>
          </w:p>
        </w:tc>
        <w:tc>
          <w:tcPr>
            <w:tcW w:w="3330" w:type="dxa"/>
          </w:tcPr>
          <w:p w:rsidR="002101C6" w:rsidRPr="00732EF1" w:rsidRDefault="000E6B45" w:rsidP="000E6B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p</w:t>
            </w:r>
            <w:r w:rsidR="002101C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ositive for CD4 dim, CD13 dim, CD34, CD117, HLA-DR, and MPO dim; 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n</w:t>
            </w:r>
            <w:r w:rsidR="002101C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egative for CD11b, CD11c, CD14, CD15, CD16, CD36, CD33, CD64, TdT, and lymphoid markers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43~47,X,-X,t(1;15)(p36.1;q15),der(3;12)</w:t>
            </w:r>
          </w:p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(3pter-&gt;3p21::12p13-&gt;12q24.3::3p21-&gt;3qter),t(3;6)(p13;p25),del(5)(q31q35),</w:t>
            </w:r>
          </w:p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add(6)(p21.1),+8,+8,add(8)(p11.2),del(8)</w:t>
            </w:r>
          </w:p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(p21),i(8)(q10)x1~2,del(12)(p11.2)          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Positive for -17 [122/200] and 8q+ [144</w:t>
            </w:r>
            <w:r w:rsidR="000E6B45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200]</w:t>
            </w:r>
          </w:p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IDH2 R140 (45%), TP53 (57%), BCOR (uncertain 51%), DNMT3A (Uncertain 46%)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CA2B63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98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60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10-15</w:t>
            </w:r>
          </w:p>
        </w:tc>
        <w:tc>
          <w:tcPr>
            <w:tcW w:w="333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Abnormal myeloid blasts with CD4 low, CD13 decreased, CD33 decreased on major subset, CD34 decreased, CD117 increased on subset, HLA-DR absent on minor subset, with normal CD38, CD45, CD71, CD123; negative CD5, CD7, </w:t>
            </w: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CD14, CD15, CD16, CD19, CD56, CD64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44~46,XX,del(5)(q15q33),+8,add(8)(p11.2),del(8)(p21),i(8)(q10),-16,-17,+mar[cp5]/46,XX[2]</w:t>
            </w:r>
          </w:p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C734D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154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70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333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CD117+ progenitor population shows erythroid differentiation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44~46,XX,der(3;12)(3pter-&gt;3p21::12p13-&gt;12q24.3::3p21-&gt;3qter),del(5)(q15q33),-7,+8,add(8)(p11.2),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5B0DE2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219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90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90</w:t>
            </w:r>
          </w:p>
        </w:tc>
        <w:tc>
          <w:tcPr>
            <w:tcW w:w="3330" w:type="dxa"/>
          </w:tcPr>
          <w:p w:rsidR="002101C6" w:rsidRPr="00732EF1" w:rsidRDefault="000E6B45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p</w:t>
            </w:r>
            <w:r w:rsidR="002101C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ositive for CD45 dim, CD4 dim, CD13 dim, CD34, CD36 subset, CD117, HLA-DR, MPO (dim minor subset); Negative CD11b, CD14, CD15, CD16, CD33, CD64, TdT</w:t>
            </w:r>
          </w:p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43~46,XX,der(3;12)(3pter-&gt;3p21::12p13-&gt;12q24.3::3p21-&gt;3qter),del(5)(q15q33),+8,i(8)(q10)x1~2,add(11)(p15),-16,-17,-22,+mar[cp20]/46,XX[1]</w:t>
            </w:r>
          </w:p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IDH2 R140 (43%), TP53 (69%), DNMT3A (uncertain, 46%), BCOR (uncertain 53%)</w:t>
            </w:r>
          </w:p>
        </w:tc>
      </w:tr>
      <w:tr w:rsidR="002101C6" w:rsidRPr="00732EF1" w:rsidTr="00B67C2C">
        <w:tc>
          <w:tcPr>
            <w:tcW w:w="720" w:type="dxa"/>
            <w:vMerge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2101C6" w:rsidRPr="00732EF1" w:rsidRDefault="005B0DE2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 xml:space="preserve"> Day 250</w:t>
            </w: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70-80</w:t>
            </w:r>
          </w:p>
        </w:tc>
        <w:tc>
          <w:tcPr>
            <w:tcW w:w="630" w:type="dxa"/>
          </w:tcPr>
          <w:p w:rsidR="002101C6" w:rsidRPr="00732EF1" w:rsidRDefault="002101C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30-40</w:t>
            </w:r>
          </w:p>
        </w:tc>
        <w:tc>
          <w:tcPr>
            <w:tcW w:w="3330" w:type="dxa"/>
          </w:tcPr>
          <w:p w:rsidR="002101C6" w:rsidRPr="00732EF1" w:rsidRDefault="000E6B45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Immature myelomonocytic cells p</w:t>
            </w:r>
            <w:r w:rsidR="002101C6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ositive for CD45 dim to moderate, CD4 dim, CD13 dim, HLA-DR; Negative CD14, CD34, CD117</w:t>
            </w:r>
          </w:p>
        </w:tc>
        <w:tc>
          <w:tcPr>
            <w:tcW w:w="315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60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Positive for IDH2 R140 and TP53 mutations</w:t>
            </w:r>
          </w:p>
          <w:p w:rsidR="002101C6" w:rsidRPr="00732EF1" w:rsidRDefault="002101C6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67C2C" w:rsidRPr="00732EF1" w:rsidTr="00B67C2C">
        <w:tc>
          <w:tcPr>
            <w:tcW w:w="720" w:type="dxa"/>
            <w:vMerge w:val="restart"/>
          </w:tcPr>
          <w:p w:rsidR="00B67C2C" w:rsidRPr="00732EF1" w:rsidRDefault="00201169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:rsidR="00B67C2C" w:rsidRPr="00732EF1" w:rsidRDefault="00BA690A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Diagnostic Bone Marrow Biopsy</w:t>
            </w: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&gt;95</w:t>
            </w:r>
          </w:p>
        </w:tc>
        <w:tc>
          <w:tcPr>
            <w:tcW w:w="63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23</w:t>
            </w:r>
          </w:p>
        </w:tc>
        <w:tc>
          <w:tcPr>
            <w:tcW w:w="3330" w:type="dxa"/>
          </w:tcPr>
          <w:p w:rsidR="00B67C2C" w:rsidRPr="00732EF1" w:rsidRDefault="00B67C2C" w:rsidP="000E6B4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positive for CD34, CD33 dim, CD13 dim, CD117, HLA-DR, CD7 dim; blasts negative CD3, CD4, CD8, CD5, CD10, CD20, CD14, sIg</w:t>
            </w:r>
          </w:p>
        </w:tc>
        <w:tc>
          <w:tcPr>
            <w:tcW w:w="315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47,XY,+8[20]</w:t>
            </w:r>
          </w:p>
        </w:tc>
        <w:tc>
          <w:tcPr>
            <w:tcW w:w="126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IDH2 R140 (44%), SRSF2 (44%), STAG2 (60%), ETV6 (uncertain 46%)</w:t>
            </w:r>
          </w:p>
        </w:tc>
      </w:tr>
      <w:tr w:rsidR="00B67C2C" w:rsidRPr="00732EF1" w:rsidTr="00B67C2C">
        <w:tc>
          <w:tcPr>
            <w:tcW w:w="720" w:type="dxa"/>
            <w:vMerge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B67C2C" w:rsidRPr="00732EF1" w:rsidRDefault="00ED6C0B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14</w:t>
            </w: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20</w:t>
            </w:r>
          </w:p>
        </w:tc>
        <w:tc>
          <w:tcPr>
            <w:tcW w:w="63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30-40</w:t>
            </w:r>
          </w:p>
        </w:tc>
        <w:tc>
          <w:tcPr>
            <w:tcW w:w="333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positive for CD34, CD13, CD33 dim, CD117, CD7 partial, HLA-DR, MPO partial</w:t>
            </w:r>
          </w:p>
        </w:tc>
        <w:tc>
          <w:tcPr>
            <w:tcW w:w="315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6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B67C2C" w:rsidRPr="00732EF1" w:rsidTr="00B67C2C">
        <w:tc>
          <w:tcPr>
            <w:tcW w:w="720" w:type="dxa"/>
            <w:vMerge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B67C2C" w:rsidRPr="00732EF1" w:rsidRDefault="00ED6C0B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48</w:t>
            </w: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&lt;5-70</w:t>
            </w:r>
          </w:p>
        </w:tc>
        <w:tc>
          <w:tcPr>
            <w:tcW w:w="63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333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Negative</w:t>
            </w:r>
          </w:p>
        </w:tc>
        <w:tc>
          <w:tcPr>
            <w:tcW w:w="315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47,XY,+8,del(12)(p11.2)[2]/46,XY[18]</w:t>
            </w:r>
          </w:p>
        </w:tc>
        <w:tc>
          <w:tcPr>
            <w:tcW w:w="126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B67C2C" w:rsidRPr="00732EF1" w:rsidTr="00B67C2C">
        <w:tc>
          <w:tcPr>
            <w:tcW w:w="720" w:type="dxa"/>
            <w:vMerge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  <w:p w:rsidR="006E4286" w:rsidRPr="00732EF1" w:rsidRDefault="006E428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104</w:t>
            </w: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50</w:t>
            </w:r>
          </w:p>
        </w:tc>
        <w:tc>
          <w:tcPr>
            <w:tcW w:w="63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333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Negative</w:t>
            </w:r>
          </w:p>
        </w:tc>
        <w:tc>
          <w:tcPr>
            <w:tcW w:w="315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46,XY[20]</w:t>
            </w:r>
          </w:p>
        </w:tc>
        <w:tc>
          <w:tcPr>
            <w:tcW w:w="126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B67C2C" w:rsidRPr="00732EF1" w:rsidTr="00B67C2C">
        <w:tc>
          <w:tcPr>
            <w:tcW w:w="720" w:type="dxa"/>
            <w:vMerge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B67C2C" w:rsidRPr="00732EF1" w:rsidRDefault="006E428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284</w:t>
            </w: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30</w:t>
            </w:r>
          </w:p>
        </w:tc>
        <w:tc>
          <w:tcPr>
            <w:tcW w:w="63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333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0.2% abnormal myeloid blasts positive for CD4, CD34 increased, CD117 decreased to absent, CD123 increased, HLA-DR decreased with normal CD13, CD33, CD34, CD38, CD45, CD71; negative CD5, CD7, CD14, CD15, CD16, CD19, CD56, CD64</w:t>
            </w:r>
          </w:p>
        </w:tc>
        <w:tc>
          <w:tcPr>
            <w:tcW w:w="315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46,XY[20]</w:t>
            </w:r>
          </w:p>
        </w:tc>
        <w:tc>
          <w:tcPr>
            <w:tcW w:w="126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Negative for +8</w:t>
            </w:r>
          </w:p>
        </w:tc>
        <w:tc>
          <w:tcPr>
            <w:tcW w:w="1255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B67C2C" w:rsidRPr="00732EF1" w:rsidTr="00B67C2C">
        <w:tc>
          <w:tcPr>
            <w:tcW w:w="720" w:type="dxa"/>
            <w:vMerge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B67C2C" w:rsidRPr="00732EF1" w:rsidRDefault="006E428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340</w:t>
            </w: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40</w:t>
            </w:r>
          </w:p>
        </w:tc>
        <w:tc>
          <w:tcPr>
            <w:tcW w:w="63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5</w:t>
            </w:r>
          </w:p>
        </w:tc>
        <w:tc>
          <w:tcPr>
            <w:tcW w:w="333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2.3% abnormal myeloid blasts positive for CD4, CD13 increased, CD34 increased, CD71 slightly increased, CD117 subset decreased to absent, CD123 increased, with normal CD33, CD38, CD45, HLA-DR, and CD15 (may be low level); negative CD5, CD7, CD14, CD16, CD19, CD56, CD64</w:t>
            </w:r>
          </w:p>
        </w:tc>
        <w:tc>
          <w:tcPr>
            <w:tcW w:w="315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6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B67C2C" w:rsidRPr="00732EF1" w:rsidTr="00B67C2C">
        <w:tc>
          <w:tcPr>
            <w:tcW w:w="720" w:type="dxa"/>
            <w:vMerge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B67C2C" w:rsidRPr="00732EF1" w:rsidRDefault="00012B23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404</w:t>
            </w: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&lt;10-40</w:t>
            </w:r>
          </w:p>
        </w:tc>
        <w:tc>
          <w:tcPr>
            <w:tcW w:w="63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20-30</w:t>
            </w:r>
          </w:p>
        </w:tc>
        <w:tc>
          <w:tcPr>
            <w:tcW w:w="333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positive for CD4 dim, CD7 dim partial, CD13, CD33 dim, CD34, CD117, and HLA-DR; blasts negative CD56, B and T</w:t>
            </w:r>
          </w:p>
        </w:tc>
        <w:tc>
          <w:tcPr>
            <w:tcW w:w="315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6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B67C2C" w:rsidRPr="00732EF1" w:rsidTr="00B67C2C">
        <w:tc>
          <w:tcPr>
            <w:tcW w:w="720" w:type="dxa"/>
            <w:vMerge w:val="restart"/>
          </w:tcPr>
          <w:p w:rsidR="00B67C2C" w:rsidRPr="00732EF1" w:rsidRDefault="00201169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5</w:t>
            </w:r>
          </w:p>
        </w:tc>
        <w:tc>
          <w:tcPr>
            <w:tcW w:w="990" w:type="dxa"/>
          </w:tcPr>
          <w:p w:rsidR="00B67C2C" w:rsidRPr="00732EF1" w:rsidRDefault="00E825CB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Diagnostic Bone Marrow Biopsy</w:t>
            </w: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AML-MRC</w:t>
            </w: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80</w:t>
            </w:r>
          </w:p>
        </w:tc>
        <w:tc>
          <w:tcPr>
            <w:tcW w:w="63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92</w:t>
            </w:r>
          </w:p>
        </w:tc>
        <w:tc>
          <w:tcPr>
            <w:tcW w:w="333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Blasts positive for CD4 dim, CD13 dim, CD33 partial dim, CD34, CD117, HLA-DR, and MPO; blasts negative CD3, CD10, CD14, CD19, sIg, TdT, B and T</w:t>
            </w:r>
          </w:p>
        </w:tc>
        <w:tc>
          <w:tcPr>
            <w:tcW w:w="315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43~46,XX,add(2)(q11.2),der(3;17)(p10;q10),-5,-8,+11,add(11)(q23),der(11;15)(q10;q10),-13,-17,-17,</w:t>
            </w:r>
          </w:p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Negative</w:t>
            </w:r>
          </w:p>
        </w:tc>
        <w:tc>
          <w:tcPr>
            <w:tcW w:w="1255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IDH1 R132 (49%), TP53 (94%), DNMT3A (47%, 48%)</w:t>
            </w:r>
          </w:p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67C2C" w:rsidRPr="00732EF1" w:rsidTr="00B67C2C">
        <w:tc>
          <w:tcPr>
            <w:tcW w:w="720" w:type="dxa"/>
            <w:vMerge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B67C2C" w:rsidRPr="00732EF1" w:rsidRDefault="002A1399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1</w:t>
            </w:r>
            <w:r w:rsidR="00AD5E3B" w:rsidRPr="00732EF1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80</w:t>
            </w:r>
          </w:p>
        </w:tc>
        <w:tc>
          <w:tcPr>
            <w:tcW w:w="63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98</w:t>
            </w:r>
          </w:p>
        </w:tc>
        <w:tc>
          <w:tcPr>
            <w:tcW w:w="333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315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41~45,XX,-X,add(2)(q11.2),t(3;17)(p10;q10),add(4)(p16),-5,del(6)(p23),+11,der(11)add(11)(p11.2)add(11)(q21),der(11;15)(q10;p10),add(12)(p11.2),add(12)(q12),-13,-17,-17, add(19)(p13.3), </w:t>
            </w:r>
          </w:p>
        </w:tc>
        <w:tc>
          <w:tcPr>
            <w:tcW w:w="126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B67C2C" w:rsidRPr="00732EF1" w:rsidTr="00B67C2C">
        <w:tc>
          <w:tcPr>
            <w:tcW w:w="720" w:type="dxa"/>
            <w:vMerge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B67C2C" w:rsidRPr="00732EF1" w:rsidRDefault="002A1399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 xml:space="preserve"> Day 127</w:t>
            </w: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67C2C" w:rsidRPr="00732EF1" w:rsidRDefault="00B67C2C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80</w:t>
            </w:r>
          </w:p>
        </w:tc>
        <w:tc>
          <w:tcPr>
            <w:tcW w:w="630" w:type="dxa"/>
          </w:tcPr>
          <w:p w:rsidR="00B67C2C" w:rsidRPr="00732EF1" w:rsidRDefault="009C77B6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</w:t>
            </w:r>
            <w:r w:rsidR="00B67C2C" w:rsidRPr="00732EF1">
              <w:rPr>
                <w:sz w:val="16"/>
                <w:szCs w:val="16"/>
              </w:rPr>
              <w:t>5</w:t>
            </w:r>
          </w:p>
        </w:tc>
        <w:tc>
          <w:tcPr>
            <w:tcW w:w="333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0.8% abnormal myeloid blasts with increased CD38, CD71, and high level CD117 and HLA-DR; negative CD13, CD15, CD33, CD64, CD123</w:t>
            </w:r>
          </w:p>
        </w:tc>
        <w:tc>
          <w:tcPr>
            <w:tcW w:w="315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43~45,XX,add(2)(q11.2),del(3)(q12),-5,del(6)(p23),+11,der(11)add(11)(p11.2)add(11)(q21),der(11;15)(q10;q10),-12,der(12;17)(q10;q10),-13,-17,-17,add(19)(p13.3),add(21)(p11.1),-22,+1~3mar[cp20]</w:t>
            </w:r>
          </w:p>
        </w:tc>
        <w:tc>
          <w:tcPr>
            <w:tcW w:w="1260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B67C2C" w:rsidRPr="00732EF1" w:rsidRDefault="00B67C2C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</w:tr>
      <w:tr w:rsidR="007E0E36" w:rsidRPr="00732EF1" w:rsidTr="00B67C2C">
        <w:tc>
          <w:tcPr>
            <w:tcW w:w="720" w:type="dxa"/>
          </w:tcPr>
          <w:p w:rsidR="007E0E36" w:rsidRPr="00732EF1" w:rsidRDefault="007E0E36" w:rsidP="002101C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7E0E36" w:rsidRPr="00732EF1" w:rsidRDefault="00246752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Day 171</w:t>
            </w:r>
          </w:p>
        </w:tc>
        <w:tc>
          <w:tcPr>
            <w:tcW w:w="900" w:type="dxa"/>
          </w:tcPr>
          <w:p w:rsidR="007E0E36" w:rsidRPr="00732EF1" w:rsidRDefault="007E0E36" w:rsidP="002101C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E0E36" w:rsidRPr="00732EF1" w:rsidRDefault="00CD3BB9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:rsidR="007E0E36" w:rsidRPr="00732EF1" w:rsidRDefault="00CD3BB9" w:rsidP="002101C6">
            <w:pPr>
              <w:rPr>
                <w:sz w:val="16"/>
                <w:szCs w:val="16"/>
              </w:rPr>
            </w:pPr>
            <w:r w:rsidRPr="00732EF1">
              <w:rPr>
                <w:sz w:val="16"/>
                <w:szCs w:val="16"/>
              </w:rPr>
              <w:t>&lt;5</w:t>
            </w:r>
          </w:p>
        </w:tc>
        <w:tc>
          <w:tcPr>
            <w:tcW w:w="3330" w:type="dxa"/>
          </w:tcPr>
          <w:p w:rsidR="00991600" w:rsidRPr="00732EF1" w:rsidRDefault="00991600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3150" w:type="dxa"/>
          </w:tcPr>
          <w:p w:rsidR="007E0E36" w:rsidRPr="00732EF1" w:rsidRDefault="00DA2DE8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60" w:type="dxa"/>
          </w:tcPr>
          <w:p w:rsidR="007E0E36" w:rsidRPr="00732EF1" w:rsidRDefault="00DA2DE8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ND</w:t>
            </w:r>
          </w:p>
        </w:tc>
        <w:tc>
          <w:tcPr>
            <w:tcW w:w="1255" w:type="dxa"/>
          </w:tcPr>
          <w:p w:rsidR="007E0E36" w:rsidRPr="00732EF1" w:rsidRDefault="00DA2DE8" w:rsidP="002101C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N</w:t>
            </w:r>
            <w:r w:rsidR="00246752" w:rsidRPr="00732EF1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</w:tr>
    </w:tbl>
    <w:p w:rsidR="0006350F" w:rsidRPr="00732EF1" w:rsidRDefault="0006350F">
      <w:pPr>
        <w:rPr>
          <w:sz w:val="16"/>
          <w:szCs w:val="16"/>
        </w:rPr>
      </w:pPr>
    </w:p>
    <w:p w:rsidR="00D82148" w:rsidRPr="00732EF1" w:rsidRDefault="00E3169B">
      <w:pPr>
        <w:rPr>
          <w:rFonts w:ascii="Times New Roman" w:hAnsi="Times New Roman" w:cs="Times New Roman"/>
          <w:sz w:val="24"/>
          <w:szCs w:val="24"/>
        </w:rPr>
      </w:pPr>
      <w:r w:rsidRPr="00732EF1">
        <w:rPr>
          <w:rFonts w:ascii="Times New Roman" w:hAnsi="Times New Roman" w:cs="Times New Roman"/>
          <w:sz w:val="24"/>
          <w:szCs w:val="24"/>
        </w:rPr>
        <w:t>Table 1. A summary of the findings for each of the patients: dates, diagnosis, cellularity levels, blast levels, flow cytometry results, cytogenetic results, FISH results, and variant allele frequencies (VAFs).</w:t>
      </w:r>
      <w:r w:rsidR="00EF1446" w:rsidRPr="00732EF1">
        <w:rPr>
          <w:rFonts w:ascii="Times New Roman" w:hAnsi="Times New Roman" w:cs="Times New Roman"/>
          <w:sz w:val="24"/>
          <w:szCs w:val="24"/>
        </w:rPr>
        <w:t>AML, acute myeloid leukemia; AML, NOS, acute myeloid leukemia, not otherwise specified; AML-MRC, acute myeloid leukemia with myelodysplasia-related changes; ND, not done.</w:t>
      </w:r>
    </w:p>
    <w:p w:rsidR="002771C7" w:rsidRPr="00732EF1" w:rsidRDefault="002771C7" w:rsidP="00C56F04">
      <w:pPr>
        <w:rPr>
          <w:rFonts w:ascii="Times New Roman" w:hAnsi="Times New Roman" w:cs="Times New Roman"/>
          <w:sz w:val="24"/>
          <w:szCs w:val="24"/>
        </w:rPr>
      </w:pPr>
    </w:p>
    <w:p w:rsidR="008B02C9" w:rsidRPr="00732EF1" w:rsidRDefault="001173C9" w:rsidP="00C56F04">
      <w:pPr>
        <w:rPr>
          <w:rFonts w:ascii="Times New Roman" w:hAnsi="Times New Roman" w:cs="Times New Roman"/>
          <w:sz w:val="24"/>
          <w:szCs w:val="24"/>
        </w:rPr>
      </w:pPr>
      <w:r w:rsidRPr="00732EF1"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w:drawing>
          <wp:inline distT="0" distB="0" distL="0" distR="0">
            <wp:extent cx="3950208" cy="445022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255" cy="445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F04" w:rsidRPr="00732EF1" w:rsidRDefault="00C56F04" w:rsidP="00C56F04">
      <w:pPr>
        <w:rPr>
          <w:rFonts w:ascii="Times New Roman" w:hAnsi="Times New Roman" w:cs="Times New Roman"/>
          <w:sz w:val="24"/>
          <w:szCs w:val="24"/>
        </w:rPr>
      </w:pPr>
      <w:r w:rsidRPr="00732EF1">
        <w:rPr>
          <w:rFonts w:ascii="Times New Roman" w:hAnsi="Times New Roman" w:cs="Times New Roman"/>
          <w:sz w:val="24"/>
          <w:szCs w:val="24"/>
        </w:rPr>
        <w:t xml:space="preserve">Figure </w:t>
      </w:r>
      <w:r w:rsidR="00732EF1">
        <w:rPr>
          <w:rFonts w:ascii="Times New Roman" w:hAnsi="Times New Roman" w:cs="Times New Roman" w:hint="eastAsia"/>
          <w:sz w:val="24"/>
          <w:szCs w:val="24"/>
          <w:lang w:eastAsia="zh-CN"/>
        </w:rPr>
        <w:t>1</w:t>
      </w:r>
      <w:r w:rsidRPr="00732EF1">
        <w:rPr>
          <w:rFonts w:ascii="Times New Roman" w:hAnsi="Times New Roman" w:cs="Times New Roman"/>
          <w:sz w:val="24"/>
          <w:szCs w:val="24"/>
        </w:rPr>
        <w:t>.</w:t>
      </w:r>
      <w:r w:rsidR="0061649D" w:rsidRPr="00732EF1">
        <w:rPr>
          <w:rFonts w:ascii="Times New Roman" w:hAnsi="Times New Roman" w:cs="Times New Roman"/>
          <w:sz w:val="24"/>
          <w:szCs w:val="24"/>
        </w:rPr>
        <w:t xml:space="preserve">Composite of bone marrow biopsies from patient </w:t>
      </w:r>
      <w:r w:rsidR="00E255A2" w:rsidRPr="00732EF1">
        <w:rPr>
          <w:rFonts w:ascii="Times New Roman" w:hAnsi="Times New Roman" w:cs="Times New Roman"/>
          <w:sz w:val="24"/>
          <w:szCs w:val="24"/>
        </w:rPr>
        <w:t>1</w:t>
      </w:r>
      <w:r w:rsidR="008B02C9" w:rsidRPr="00732EF1">
        <w:rPr>
          <w:rFonts w:ascii="Times New Roman" w:hAnsi="Times New Roman" w:cs="Times New Roman"/>
          <w:sz w:val="24"/>
          <w:szCs w:val="24"/>
        </w:rPr>
        <w:t>.</w:t>
      </w:r>
      <w:r w:rsidR="0061649D" w:rsidRPr="00732EF1">
        <w:rPr>
          <w:rFonts w:ascii="Times New Roman" w:hAnsi="Times New Roman" w:cs="Times New Roman"/>
          <w:sz w:val="24"/>
          <w:szCs w:val="24"/>
        </w:rPr>
        <w:t xml:space="preserve">  (A, C, E) Bone marrow biopsy at diagnosis; (A) Aspirate showing blasts with cytoplasmic vacuoles, Wright-giemsa stain, 100X objective; (C</w:t>
      </w:r>
      <w:r w:rsidR="0039755B" w:rsidRPr="00732EF1">
        <w:rPr>
          <w:rFonts w:ascii="Times New Roman" w:hAnsi="Times New Roman" w:cs="Times New Roman"/>
          <w:sz w:val="24"/>
          <w:szCs w:val="24"/>
        </w:rPr>
        <w:t xml:space="preserve">) Trephine biopsy showing a normocellular bone marrow, hematoxylin and eosin (H&amp;E)-stained section, 10X objective; (E) Trephine biopsy showing sheets of blasts, H&amp;E-stained section, 40X objective.  (B, D, F) Bone marrow biopsy after enasidenib; (B) Aspirate showing </w:t>
      </w:r>
      <w:r w:rsidR="00B869AE" w:rsidRPr="00732EF1">
        <w:rPr>
          <w:rFonts w:ascii="Times New Roman" w:hAnsi="Times New Roman" w:cs="Times New Roman"/>
          <w:sz w:val="24"/>
          <w:szCs w:val="24"/>
        </w:rPr>
        <w:t xml:space="preserve">a </w:t>
      </w:r>
      <w:r w:rsidR="0039755B" w:rsidRPr="00732EF1">
        <w:rPr>
          <w:rFonts w:ascii="Times New Roman" w:hAnsi="Times New Roman" w:cs="Times New Roman"/>
          <w:sz w:val="24"/>
          <w:szCs w:val="24"/>
        </w:rPr>
        <w:t xml:space="preserve">rare </w:t>
      </w:r>
      <w:r w:rsidR="002101C6" w:rsidRPr="00732EF1">
        <w:rPr>
          <w:rFonts w:ascii="Times New Roman" w:hAnsi="Times New Roman" w:cs="Times New Roman"/>
          <w:sz w:val="24"/>
          <w:szCs w:val="24"/>
        </w:rPr>
        <w:t>immature mononuclear</w:t>
      </w:r>
      <w:r w:rsidR="00094AE6" w:rsidRPr="00732EF1">
        <w:rPr>
          <w:rFonts w:ascii="Times New Roman" w:hAnsi="Times New Roman" w:cs="Times New Roman"/>
          <w:sz w:val="24"/>
          <w:szCs w:val="24"/>
        </w:rPr>
        <w:t xml:space="preserve">cell </w:t>
      </w:r>
      <w:r w:rsidR="0039755B" w:rsidRPr="00732EF1">
        <w:rPr>
          <w:rFonts w:ascii="Times New Roman" w:hAnsi="Times New Roman" w:cs="Times New Roman"/>
          <w:sz w:val="24"/>
          <w:szCs w:val="24"/>
        </w:rPr>
        <w:t>with cytoplasmic vacuoles</w:t>
      </w:r>
      <w:r w:rsidR="002101C6" w:rsidRPr="00732EF1">
        <w:rPr>
          <w:rFonts w:ascii="Times New Roman" w:hAnsi="Times New Roman" w:cs="Times New Roman"/>
          <w:sz w:val="24"/>
          <w:szCs w:val="24"/>
        </w:rPr>
        <w:t>, suspicious for a blast</w:t>
      </w:r>
      <w:r w:rsidR="0039755B" w:rsidRPr="00732EF1">
        <w:rPr>
          <w:rFonts w:ascii="Times New Roman" w:hAnsi="Times New Roman" w:cs="Times New Roman"/>
          <w:sz w:val="24"/>
          <w:szCs w:val="24"/>
        </w:rPr>
        <w:t>; (D) Trephine biopsy showing a hypo- to normocellular bone marrow, H&amp;E-stained section, 10X objective; (F) Trephine biopsy s</w:t>
      </w:r>
      <w:r w:rsidR="00EB4D26" w:rsidRPr="00732EF1">
        <w:rPr>
          <w:rFonts w:ascii="Times New Roman" w:hAnsi="Times New Roman" w:cs="Times New Roman"/>
          <w:sz w:val="24"/>
          <w:szCs w:val="24"/>
        </w:rPr>
        <w:t>howing trilineage hematopoiesis, H&amp;E-stained section, 40X objective.</w:t>
      </w:r>
    </w:p>
    <w:p w:rsidR="001173C9" w:rsidRPr="00732EF1" w:rsidRDefault="001173C9">
      <w:pPr>
        <w:rPr>
          <w:rFonts w:ascii="Times New Roman" w:hAnsi="Times New Roman" w:cs="Times New Roman"/>
          <w:sz w:val="24"/>
          <w:szCs w:val="24"/>
        </w:rPr>
      </w:pPr>
      <w:r w:rsidRPr="00732EF1"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w:drawing>
          <wp:inline distT="0" distB="0" distL="0" distR="0">
            <wp:extent cx="3877056" cy="4367817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249" cy="437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22B" w:rsidRPr="000654B9" w:rsidRDefault="0006122B">
      <w:pPr>
        <w:rPr>
          <w:sz w:val="16"/>
          <w:szCs w:val="16"/>
        </w:rPr>
      </w:pPr>
      <w:r w:rsidRPr="00732EF1">
        <w:rPr>
          <w:rFonts w:ascii="Times New Roman" w:hAnsi="Times New Roman" w:cs="Times New Roman"/>
          <w:sz w:val="24"/>
          <w:szCs w:val="24"/>
        </w:rPr>
        <w:t xml:space="preserve">Figure </w:t>
      </w:r>
      <w:r w:rsidR="00732EF1">
        <w:rPr>
          <w:rFonts w:ascii="Times New Roman" w:hAnsi="Times New Roman" w:cs="Times New Roman" w:hint="eastAsia"/>
          <w:sz w:val="24"/>
          <w:szCs w:val="24"/>
          <w:lang w:eastAsia="zh-CN"/>
        </w:rPr>
        <w:t>2</w:t>
      </w:r>
      <w:r w:rsidRPr="00732EF1">
        <w:rPr>
          <w:rFonts w:ascii="Times New Roman" w:hAnsi="Times New Roman" w:cs="Times New Roman"/>
          <w:sz w:val="24"/>
          <w:szCs w:val="24"/>
        </w:rPr>
        <w:t>.</w:t>
      </w:r>
      <w:r w:rsidR="002771C7" w:rsidRPr="00732EF1">
        <w:rPr>
          <w:rFonts w:ascii="Times New Roman" w:hAnsi="Times New Roman" w:cs="Times New Roman"/>
          <w:sz w:val="24"/>
          <w:szCs w:val="24"/>
        </w:rPr>
        <w:t xml:space="preserve"> B</w:t>
      </w:r>
      <w:r w:rsidR="00EB4D26" w:rsidRPr="00732EF1">
        <w:rPr>
          <w:rFonts w:ascii="Times New Roman" w:hAnsi="Times New Roman" w:cs="Times New Roman"/>
          <w:sz w:val="24"/>
          <w:szCs w:val="24"/>
        </w:rPr>
        <w:t xml:space="preserve">Composite of bone marrow biopsies from patient </w:t>
      </w:r>
      <w:r w:rsidR="007A5627" w:rsidRPr="00732EF1">
        <w:rPr>
          <w:rFonts w:ascii="Times New Roman" w:hAnsi="Times New Roman" w:cs="Times New Roman"/>
          <w:sz w:val="24"/>
          <w:szCs w:val="24"/>
        </w:rPr>
        <w:t>5</w:t>
      </w:r>
      <w:r w:rsidR="00EB4D26" w:rsidRPr="00732EF1">
        <w:rPr>
          <w:rFonts w:ascii="Times New Roman" w:hAnsi="Times New Roman" w:cs="Times New Roman"/>
          <w:sz w:val="24"/>
          <w:szCs w:val="24"/>
        </w:rPr>
        <w:t xml:space="preserve">.  (A, C, E) Bone marrow biopsy at diagnosis; (A) Aspirate showing blasts with cytoplasmic vacuoles, Wright-giemsa stain, 100X objective; (C) Trephine biopsy showing a hypercellular bone marrow, hematoxylin and eosin (H&amp;E)-stained section, 10X objective; (E) Trephine biopsy showing sheets of blasts, H&amp;E-stained section, 40X objective.  (B, D, F) Bone marrow biopsy after ivosidenib; (B) Aspirate showing left-shifted erythroid precursors with occasional cytoplasmic vacuoles and left-shifted granulocytes; (D) Trephine biopsy showing a </w:t>
      </w:r>
      <w:r w:rsidR="00627CD6" w:rsidRPr="00732EF1">
        <w:rPr>
          <w:rFonts w:ascii="Times New Roman" w:hAnsi="Times New Roman" w:cs="Times New Roman"/>
          <w:sz w:val="24"/>
          <w:szCs w:val="24"/>
        </w:rPr>
        <w:t>hyper</w:t>
      </w:r>
      <w:r w:rsidR="00EB4D26" w:rsidRPr="00732EF1">
        <w:rPr>
          <w:rFonts w:ascii="Times New Roman" w:hAnsi="Times New Roman" w:cs="Times New Roman"/>
          <w:sz w:val="24"/>
          <w:szCs w:val="24"/>
        </w:rPr>
        <w:t>cellular bone marrow, H&amp;E-stained section, 10X objective; (F) Trephine biopsy showing trilineage hematopoiesis</w:t>
      </w:r>
      <w:r w:rsidR="00627CD6" w:rsidRPr="00732EF1">
        <w:rPr>
          <w:rFonts w:ascii="Times New Roman" w:hAnsi="Times New Roman" w:cs="Times New Roman"/>
          <w:sz w:val="24"/>
          <w:szCs w:val="24"/>
        </w:rPr>
        <w:t xml:space="preserve"> with left-shifted erythroid and granulocytic maturation and small megakaryocytes</w:t>
      </w:r>
      <w:r w:rsidR="00EB4D26" w:rsidRPr="00732EF1">
        <w:rPr>
          <w:rFonts w:ascii="Times New Roman" w:hAnsi="Times New Roman" w:cs="Times New Roman"/>
          <w:sz w:val="24"/>
          <w:szCs w:val="24"/>
        </w:rPr>
        <w:t>, H&amp;E-stained section, 40X objective.</w:t>
      </w:r>
    </w:p>
    <w:sectPr w:rsidR="0006122B" w:rsidRPr="000654B9" w:rsidSect="00065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996" w:rsidRDefault="00057996" w:rsidP="00627CD6">
      <w:pPr>
        <w:spacing w:after="0" w:line="240" w:lineRule="auto"/>
      </w:pPr>
      <w:r>
        <w:separator/>
      </w:r>
    </w:p>
  </w:endnote>
  <w:endnote w:type="continuationSeparator" w:id="1">
    <w:p w:rsidR="00057996" w:rsidRDefault="00057996" w:rsidP="0062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F1" w:rsidRDefault="00732EF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F1" w:rsidRDefault="00732EF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F1" w:rsidRDefault="00732E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996" w:rsidRDefault="00057996" w:rsidP="00627CD6">
      <w:pPr>
        <w:spacing w:after="0" w:line="240" w:lineRule="auto"/>
      </w:pPr>
      <w:r>
        <w:separator/>
      </w:r>
    </w:p>
  </w:footnote>
  <w:footnote w:type="continuationSeparator" w:id="1">
    <w:p w:rsidR="00057996" w:rsidRDefault="00057996" w:rsidP="0062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F1" w:rsidRDefault="00732EF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F1" w:rsidRDefault="00732EF1" w:rsidP="00732EF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F1" w:rsidRDefault="00732EF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54B9"/>
    <w:rsid w:val="00012B23"/>
    <w:rsid w:val="00057996"/>
    <w:rsid w:val="0006122B"/>
    <w:rsid w:val="0006350F"/>
    <w:rsid w:val="000654B9"/>
    <w:rsid w:val="000750AB"/>
    <w:rsid w:val="00094AE6"/>
    <w:rsid w:val="000C7811"/>
    <w:rsid w:val="000D0EB8"/>
    <w:rsid w:val="000E6B45"/>
    <w:rsid w:val="00105276"/>
    <w:rsid w:val="0011184D"/>
    <w:rsid w:val="001173C9"/>
    <w:rsid w:val="001A5EAF"/>
    <w:rsid w:val="001C0F3A"/>
    <w:rsid w:val="0020012D"/>
    <w:rsid w:val="00201169"/>
    <w:rsid w:val="002101C6"/>
    <w:rsid w:val="00230510"/>
    <w:rsid w:val="00246752"/>
    <w:rsid w:val="002737CE"/>
    <w:rsid w:val="002771C7"/>
    <w:rsid w:val="00294849"/>
    <w:rsid w:val="002A1399"/>
    <w:rsid w:val="002E3874"/>
    <w:rsid w:val="002F47FB"/>
    <w:rsid w:val="003169BB"/>
    <w:rsid w:val="00370D10"/>
    <w:rsid w:val="003747CF"/>
    <w:rsid w:val="0039755B"/>
    <w:rsid w:val="003D36B8"/>
    <w:rsid w:val="00475FA9"/>
    <w:rsid w:val="00517118"/>
    <w:rsid w:val="005B0DE2"/>
    <w:rsid w:val="005C623E"/>
    <w:rsid w:val="0061649D"/>
    <w:rsid w:val="00627CD6"/>
    <w:rsid w:val="00631549"/>
    <w:rsid w:val="0069691B"/>
    <w:rsid w:val="006C3EA4"/>
    <w:rsid w:val="006D0993"/>
    <w:rsid w:val="006E4286"/>
    <w:rsid w:val="006E68C5"/>
    <w:rsid w:val="006E75AD"/>
    <w:rsid w:val="00726FC4"/>
    <w:rsid w:val="00732EF1"/>
    <w:rsid w:val="00763D4A"/>
    <w:rsid w:val="007A5627"/>
    <w:rsid w:val="007E0E36"/>
    <w:rsid w:val="00824340"/>
    <w:rsid w:val="00831EBC"/>
    <w:rsid w:val="00873761"/>
    <w:rsid w:val="008B02C9"/>
    <w:rsid w:val="00905DAB"/>
    <w:rsid w:val="00991600"/>
    <w:rsid w:val="009C2FF3"/>
    <w:rsid w:val="009C77B6"/>
    <w:rsid w:val="009E0082"/>
    <w:rsid w:val="00A01AA8"/>
    <w:rsid w:val="00A17C6C"/>
    <w:rsid w:val="00A80DE3"/>
    <w:rsid w:val="00AA2316"/>
    <w:rsid w:val="00AD12A3"/>
    <w:rsid w:val="00AD5E3B"/>
    <w:rsid w:val="00B264D1"/>
    <w:rsid w:val="00B67C2C"/>
    <w:rsid w:val="00B869AE"/>
    <w:rsid w:val="00BA2F40"/>
    <w:rsid w:val="00BA690A"/>
    <w:rsid w:val="00C21CC5"/>
    <w:rsid w:val="00C2586F"/>
    <w:rsid w:val="00C56F04"/>
    <w:rsid w:val="00C64ED3"/>
    <w:rsid w:val="00C734D6"/>
    <w:rsid w:val="00CA2B63"/>
    <w:rsid w:val="00CB0866"/>
    <w:rsid w:val="00CB38A8"/>
    <w:rsid w:val="00CD3BB9"/>
    <w:rsid w:val="00CD5CD9"/>
    <w:rsid w:val="00D4654A"/>
    <w:rsid w:val="00D82148"/>
    <w:rsid w:val="00DA2DE8"/>
    <w:rsid w:val="00DC75B5"/>
    <w:rsid w:val="00DF7373"/>
    <w:rsid w:val="00E02944"/>
    <w:rsid w:val="00E06DEC"/>
    <w:rsid w:val="00E255A2"/>
    <w:rsid w:val="00E3169B"/>
    <w:rsid w:val="00E5473B"/>
    <w:rsid w:val="00E6534D"/>
    <w:rsid w:val="00E825CB"/>
    <w:rsid w:val="00E8717D"/>
    <w:rsid w:val="00EB4D26"/>
    <w:rsid w:val="00EC4F39"/>
    <w:rsid w:val="00ED6C0B"/>
    <w:rsid w:val="00EF1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E0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0E3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32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semiHidden/>
    <w:rsid w:val="00732EF1"/>
  </w:style>
  <w:style w:type="paragraph" w:styleId="a6">
    <w:name w:val="footer"/>
    <w:basedOn w:val="a"/>
    <w:link w:val="Char1"/>
    <w:uiPriority w:val="99"/>
    <w:semiHidden/>
    <w:unhideWhenUsed/>
    <w:rsid w:val="00732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semiHidden/>
    <w:rsid w:val="00732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Lee</dc:creator>
  <cp:keywords/>
  <dc:description/>
  <cp:lastModifiedBy>微软用户</cp:lastModifiedBy>
  <cp:revision>52</cp:revision>
  <dcterms:created xsi:type="dcterms:W3CDTF">2019-08-14T02:56:00Z</dcterms:created>
  <dcterms:modified xsi:type="dcterms:W3CDTF">2019-10-10T07:35:00Z</dcterms:modified>
</cp:coreProperties>
</file>