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BE8" w:rsidRDefault="00E11A78">
      <w:r w:rsidRPr="00824972">
        <w:rPr>
          <w:rFonts w:ascii="Times New Roman" w:hAnsi="Times New Roman" w:cs="Times New Roman"/>
          <w:b/>
          <w:bCs/>
          <w:sz w:val="24"/>
          <w:szCs w:val="24"/>
        </w:rPr>
        <w:t>Suppl</w:t>
      </w:r>
      <w:r>
        <w:rPr>
          <w:rFonts w:ascii="Times New Roman" w:hAnsi="Times New Roman" w:cs="Times New Roman"/>
          <w:b/>
          <w:bCs/>
          <w:sz w:val="24"/>
          <w:szCs w:val="24"/>
        </w:rPr>
        <w:t>ementary File</w:t>
      </w:r>
      <w:r w:rsidRPr="00824972">
        <w:rPr>
          <w:rFonts w:ascii="Times New Roman" w:hAnsi="Times New Roman" w:cs="Times New Roman"/>
          <w:b/>
          <w:bCs/>
          <w:sz w:val="24"/>
          <w:szCs w:val="24"/>
        </w:rPr>
        <w:t xml:space="preserve"> 1.</w:t>
      </w:r>
      <w:r>
        <w:rPr>
          <w:rFonts w:ascii="Times New Roman" w:hAnsi="Times New Roman" w:cs="Times New Roman"/>
          <w:sz w:val="24"/>
          <w:szCs w:val="24"/>
        </w:rPr>
        <w:t xml:space="preserve"> </w:t>
      </w:r>
      <w:r w:rsidRPr="006F2BFA">
        <w:rPr>
          <w:rFonts w:ascii="Times New Roman" w:hAnsi="Times New Roman" w:cs="Times New Roman"/>
          <w:sz w:val="24"/>
          <w:szCs w:val="24"/>
        </w:rPr>
        <w:t>Main characteristics of the cases summarized in the database search</w:t>
      </w:r>
      <w:r w:rsidR="0022613A">
        <w:rPr>
          <w:rFonts w:ascii="Times New Roman" w:hAnsi="Times New Roman" w:cs="Times New Roman"/>
          <w:sz w:val="24"/>
          <w:szCs w:val="24"/>
        </w:rPr>
        <w:t>.</w:t>
      </w:r>
    </w:p>
    <w:tbl>
      <w:tblPr>
        <w:tblStyle w:val="GridTable5DarkAccent3"/>
        <w:tblW w:w="13338" w:type="dxa"/>
        <w:tblLayout w:type="fixed"/>
        <w:tblLook w:val="04A0"/>
      </w:tblPr>
      <w:tblGrid>
        <w:gridCol w:w="700"/>
        <w:gridCol w:w="1478"/>
        <w:gridCol w:w="1800"/>
        <w:gridCol w:w="1350"/>
        <w:gridCol w:w="900"/>
        <w:gridCol w:w="720"/>
        <w:gridCol w:w="1080"/>
        <w:gridCol w:w="2340"/>
        <w:gridCol w:w="1530"/>
        <w:gridCol w:w="1440"/>
      </w:tblGrid>
      <w:tr w:rsidR="000E4757" w:rsidRPr="00EE47A0" w:rsidTr="00454172">
        <w:trPr>
          <w:cnfStyle w:val="100000000000"/>
          <w:trHeight w:val="315"/>
        </w:trPr>
        <w:tc>
          <w:tcPr>
            <w:cnfStyle w:val="001000000000"/>
            <w:tcW w:w="700" w:type="dxa"/>
            <w:hideMark/>
          </w:tcPr>
          <w:p w:rsidR="000E4757" w:rsidRPr="00EE47A0" w:rsidRDefault="000E4757" w:rsidP="00454172">
            <w:pPr>
              <w:spacing w:line="480" w:lineRule="auto"/>
              <w:rPr>
                <w:rFonts w:cstheme="minorHAnsi"/>
                <w:sz w:val="24"/>
                <w:szCs w:val="24"/>
              </w:rPr>
            </w:pPr>
          </w:p>
          <w:p w:rsidR="000E4757" w:rsidRPr="00EE47A0" w:rsidRDefault="000E4757" w:rsidP="00454172">
            <w:pPr>
              <w:spacing w:line="480" w:lineRule="auto"/>
              <w:rPr>
                <w:rFonts w:cstheme="minorHAnsi"/>
                <w:sz w:val="24"/>
                <w:szCs w:val="24"/>
              </w:rPr>
            </w:pPr>
          </w:p>
        </w:tc>
        <w:tc>
          <w:tcPr>
            <w:tcW w:w="1478" w:type="dxa"/>
            <w:hideMark/>
          </w:tcPr>
          <w:p w:rsidR="000E4757" w:rsidRPr="00EE47A0" w:rsidRDefault="000E4757" w:rsidP="00454172">
            <w:pPr>
              <w:spacing w:line="480" w:lineRule="auto"/>
              <w:cnfStyle w:val="100000000000"/>
              <w:rPr>
                <w:rFonts w:cstheme="minorHAnsi"/>
                <w:sz w:val="24"/>
                <w:szCs w:val="24"/>
              </w:rPr>
            </w:pPr>
            <w:r w:rsidRPr="00EE47A0">
              <w:rPr>
                <w:rFonts w:cstheme="minorHAnsi"/>
                <w:sz w:val="24"/>
                <w:szCs w:val="24"/>
              </w:rPr>
              <w:t>Publication (last name, year)</w:t>
            </w:r>
          </w:p>
        </w:tc>
        <w:tc>
          <w:tcPr>
            <w:tcW w:w="1800" w:type="dxa"/>
            <w:hideMark/>
          </w:tcPr>
          <w:p w:rsidR="000E4757" w:rsidRPr="00EE47A0" w:rsidRDefault="000E4757" w:rsidP="00454172">
            <w:pPr>
              <w:spacing w:line="480" w:lineRule="auto"/>
              <w:cnfStyle w:val="100000000000"/>
              <w:rPr>
                <w:rFonts w:cstheme="minorHAnsi"/>
                <w:sz w:val="24"/>
                <w:szCs w:val="24"/>
              </w:rPr>
            </w:pPr>
            <w:r w:rsidRPr="00EE47A0">
              <w:rPr>
                <w:rFonts w:cstheme="minorHAnsi"/>
                <w:sz w:val="24"/>
                <w:szCs w:val="24"/>
              </w:rPr>
              <w:t>Immune checkpoint inhibitor (ICI)</w:t>
            </w:r>
          </w:p>
        </w:tc>
        <w:tc>
          <w:tcPr>
            <w:tcW w:w="1350" w:type="dxa"/>
            <w:hideMark/>
          </w:tcPr>
          <w:p w:rsidR="000E4757" w:rsidRPr="00EE47A0" w:rsidRDefault="000E4757" w:rsidP="00454172">
            <w:pPr>
              <w:spacing w:line="480" w:lineRule="auto"/>
              <w:cnfStyle w:val="100000000000"/>
              <w:rPr>
                <w:rFonts w:cstheme="minorHAnsi"/>
                <w:sz w:val="24"/>
                <w:szCs w:val="24"/>
              </w:rPr>
            </w:pPr>
            <w:r w:rsidRPr="00EE47A0">
              <w:rPr>
                <w:rFonts w:cstheme="minorHAnsi"/>
                <w:sz w:val="24"/>
                <w:szCs w:val="24"/>
              </w:rPr>
              <w:t>Indication for ICI</w:t>
            </w:r>
          </w:p>
        </w:tc>
        <w:tc>
          <w:tcPr>
            <w:tcW w:w="900" w:type="dxa"/>
            <w:hideMark/>
          </w:tcPr>
          <w:p w:rsidR="000E4757" w:rsidRPr="00EE47A0" w:rsidRDefault="000E4757" w:rsidP="00454172">
            <w:pPr>
              <w:spacing w:line="480" w:lineRule="auto"/>
              <w:cnfStyle w:val="100000000000"/>
              <w:rPr>
                <w:rFonts w:cstheme="minorHAnsi"/>
                <w:sz w:val="24"/>
                <w:szCs w:val="24"/>
              </w:rPr>
            </w:pPr>
            <w:r w:rsidRPr="00EE47A0">
              <w:rPr>
                <w:rFonts w:cstheme="minorHAnsi"/>
                <w:sz w:val="24"/>
                <w:szCs w:val="24"/>
              </w:rPr>
              <w:t>Age (years)</w:t>
            </w:r>
          </w:p>
        </w:tc>
        <w:tc>
          <w:tcPr>
            <w:tcW w:w="720" w:type="dxa"/>
            <w:hideMark/>
          </w:tcPr>
          <w:p w:rsidR="000E4757" w:rsidRPr="00EE47A0" w:rsidRDefault="000E4757" w:rsidP="00454172">
            <w:pPr>
              <w:spacing w:line="480" w:lineRule="auto"/>
              <w:cnfStyle w:val="100000000000"/>
              <w:rPr>
                <w:rFonts w:cstheme="minorHAnsi"/>
                <w:sz w:val="24"/>
                <w:szCs w:val="24"/>
              </w:rPr>
            </w:pPr>
            <w:r w:rsidRPr="00EE47A0">
              <w:rPr>
                <w:rFonts w:cstheme="minorHAnsi"/>
                <w:sz w:val="24"/>
                <w:szCs w:val="24"/>
              </w:rPr>
              <w:t>Gender</w:t>
            </w:r>
          </w:p>
        </w:tc>
        <w:tc>
          <w:tcPr>
            <w:tcW w:w="1080" w:type="dxa"/>
            <w:hideMark/>
          </w:tcPr>
          <w:p w:rsidR="000E4757" w:rsidRPr="00EE47A0" w:rsidRDefault="000E4757" w:rsidP="00454172">
            <w:pPr>
              <w:spacing w:line="480" w:lineRule="auto"/>
              <w:cnfStyle w:val="100000000000"/>
              <w:rPr>
                <w:rFonts w:cstheme="minorHAnsi"/>
                <w:sz w:val="24"/>
                <w:szCs w:val="24"/>
              </w:rPr>
            </w:pPr>
            <w:r w:rsidRPr="00EE47A0">
              <w:rPr>
                <w:rFonts w:cstheme="minorHAnsi"/>
                <w:sz w:val="24"/>
                <w:szCs w:val="24"/>
              </w:rPr>
              <w:t xml:space="preserve">Timing </w:t>
            </w:r>
          </w:p>
        </w:tc>
        <w:tc>
          <w:tcPr>
            <w:tcW w:w="2340" w:type="dxa"/>
            <w:hideMark/>
          </w:tcPr>
          <w:p w:rsidR="000E4757" w:rsidRPr="00EE47A0" w:rsidRDefault="000E4757" w:rsidP="00454172">
            <w:pPr>
              <w:spacing w:line="480" w:lineRule="auto"/>
              <w:cnfStyle w:val="100000000000"/>
              <w:rPr>
                <w:rFonts w:cstheme="minorHAnsi"/>
                <w:sz w:val="24"/>
                <w:szCs w:val="24"/>
              </w:rPr>
            </w:pPr>
            <w:r w:rsidRPr="00EE47A0">
              <w:rPr>
                <w:rFonts w:cstheme="minorHAnsi"/>
                <w:sz w:val="24"/>
                <w:szCs w:val="24"/>
              </w:rPr>
              <w:t>Management</w:t>
            </w:r>
          </w:p>
        </w:tc>
        <w:tc>
          <w:tcPr>
            <w:tcW w:w="1530" w:type="dxa"/>
            <w:hideMark/>
          </w:tcPr>
          <w:p w:rsidR="000E4757" w:rsidRPr="00EE47A0" w:rsidRDefault="000E4757" w:rsidP="00454172">
            <w:pPr>
              <w:spacing w:line="480" w:lineRule="auto"/>
              <w:cnfStyle w:val="100000000000"/>
              <w:rPr>
                <w:rFonts w:cstheme="minorHAnsi"/>
                <w:sz w:val="24"/>
                <w:szCs w:val="24"/>
              </w:rPr>
            </w:pPr>
            <w:r w:rsidRPr="00EE47A0">
              <w:rPr>
                <w:rFonts w:cstheme="minorHAnsi"/>
                <w:sz w:val="24"/>
                <w:szCs w:val="24"/>
              </w:rPr>
              <w:t>Outcome</w:t>
            </w:r>
          </w:p>
        </w:tc>
        <w:tc>
          <w:tcPr>
            <w:tcW w:w="1440" w:type="dxa"/>
            <w:hideMark/>
          </w:tcPr>
          <w:p w:rsidR="000E4757" w:rsidRPr="00EE47A0" w:rsidRDefault="000E4757" w:rsidP="00454172">
            <w:pPr>
              <w:spacing w:line="480" w:lineRule="auto"/>
              <w:cnfStyle w:val="100000000000"/>
              <w:rPr>
                <w:rFonts w:cstheme="minorHAnsi"/>
                <w:sz w:val="24"/>
                <w:szCs w:val="24"/>
              </w:rPr>
            </w:pPr>
            <w:r w:rsidRPr="00EE47A0">
              <w:rPr>
                <w:rFonts w:cstheme="minorHAnsi"/>
                <w:sz w:val="24"/>
                <w:szCs w:val="24"/>
              </w:rPr>
              <w:t>Other immune related adverse events</w:t>
            </w:r>
          </w:p>
        </w:tc>
      </w:tr>
      <w:tr w:rsidR="000E4757" w:rsidRPr="00EE47A0" w:rsidTr="00454172">
        <w:trPr>
          <w:cnfStyle w:val="000000100000"/>
          <w:trHeight w:val="315"/>
        </w:trPr>
        <w:tc>
          <w:tcPr>
            <w:cnfStyle w:val="001000000000"/>
            <w:tcW w:w="700" w:type="dxa"/>
            <w:hideMark/>
          </w:tcPr>
          <w:p w:rsidR="000E4757" w:rsidRPr="00EE47A0" w:rsidRDefault="000E4757" w:rsidP="00454172">
            <w:pPr>
              <w:spacing w:line="480" w:lineRule="auto"/>
              <w:rPr>
                <w:rFonts w:cstheme="minorHAnsi"/>
                <w:sz w:val="24"/>
                <w:szCs w:val="24"/>
              </w:rPr>
            </w:pPr>
            <w:r w:rsidRPr="00EE47A0">
              <w:rPr>
                <w:rFonts w:cstheme="minorHAnsi"/>
                <w:sz w:val="24"/>
                <w:szCs w:val="24"/>
              </w:rPr>
              <w:t>1</w:t>
            </w:r>
          </w:p>
        </w:tc>
        <w:tc>
          <w:tcPr>
            <w:tcW w:w="1478"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Takahashi, 2020</w:t>
            </w:r>
            <w:r>
              <w:rPr>
                <w:rFonts w:cstheme="minorHAnsi"/>
                <w:sz w:val="24"/>
                <w:szCs w:val="24"/>
              </w:rPr>
              <w:fldChar w:fldCharType="begin"/>
            </w:r>
            <w:r>
              <w:rPr>
                <w:rFonts w:cstheme="minorHAnsi"/>
                <w:sz w:val="24"/>
                <w:szCs w:val="24"/>
              </w:rPr>
              <w:instrText xml:space="preserve"> ADDIN ZOTERO_ITEM CSL_CITATION {"citationID":"32ktY9n9","properties":{"formattedCitation":"\\super 12\\nosupersub{}","plainCitation":"12","noteIndex":0},"citationItems":[{"id":377,"uris":["http://zotero.org/users/7954636/items/5UNVPY6C"],"uri":["http://zotero.org/users/7954636/items/5UNVPY6C"],"itemData":{"id":377,"type":"article-journal","abstract":"Treatments using immune checkpoint inhibitors such as pembrolizumab lead to immune mediated adverse effects including hemophagocytic lymphohistiocytosis (HLH). Herein, we present a case where HLH developed after pembrolizumab administration, which was treated using high dose prednisolone. He developed high-grade fever complicated with liver dysfunction and diarrhea 7 days after pembrolizumab administration. Although treatment with oral prednisolone alleviated the symptoms, other adverse effects arose owing to a tapered prednisolone dose. Hyperferritinemia suggested the diagnosis of HLH and met the criteria for HLH diagnosis. He was thus administered intravenous pulses of methylprednisolone followed by high-dose oral prednisolone, which resolved these symptoms.","container-title":"Respiratory Medicine Case Reports","DOI":"10.1016/j.rmcr.2020.101097","ISSN":"2213-0071","journalAbbreviation":"Respiratory Medicine Case Reports","language":"en","page":"101097","source":"ScienceDirect","title":"A case of pembrolizumab-induced hemophagocytic lymphohistiocytosis successfully treated with pulse glucocorticoid therapy","volume":"30","author":[{"family":"Takahashi","given":"Hidenori"},{"family":"Koiwa","given":"Tomohiro"},{"family":"Fujita","given":"Akira"},{"family":"Suzuki","given":"Takayuki"},{"family":"Tagashira","given":"Amane"},{"family":"Iwasaki","given":"Yoshinobu"}],"issued":{"date-parts":[["2020",1,1]]}}}],"schema":"https://github.com/citation-style-language/schema/raw/master/csl-citation.json"} </w:instrText>
            </w:r>
            <w:r>
              <w:rPr>
                <w:rFonts w:cstheme="minorHAnsi"/>
                <w:sz w:val="24"/>
                <w:szCs w:val="24"/>
              </w:rPr>
              <w:fldChar w:fldCharType="separate"/>
            </w:r>
            <w:r w:rsidRPr="00FE4A0A">
              <w:rPr>
                <w:rFonts w:ascii="Calibri" w:hAnsi="Calibri" w:cs="Calibri"/>
                <w:sz w:val="24"/>
                <w:szCs w:val="24"/>
                <w:vertAlign w:val="superscript"/>
              </w:rPr>
              <w:t>12</w:t>
            </w:r>
            <w:r>
              <w:rPr>
                <w:rFonts w:cstheme="minorHAnsi"/>
                <w:sz w:val="24"/>
                <w:szCs w:val="24"/>
              </w:rPr>
              <w:fldChar w:fldCharType="end"/>
            </w:r>
          </w:p>
        </w:tc>
        <w:tc>
          <w:tcPr>
            <w:tcW w:w="180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Pembrolizumab</w:t>
            </w:r>
          </w:p>
        </w:tc>
        <w:tc>
          <w:tcPr>
            <w:tcW w:w="135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Lung adenocarcinoma</w:t>
            </w:r>
          </w:p>
        </w:tc>
        <w:tc>
          <w:tcPr>
            <w:tcW w:w="90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78</w:t>
            </w:r>
          </w:p>
        </w:tc>
        <w:tc>
          <w:tcPr>
            <w:tcW w:w="72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Male</w:t>
            </w:r>
          </w:p>
        </w:tc>
        <w:tc>
          <w:tcPr>
            <w:tcW w:w="108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7 days</w:t>
            </w:r>
          </w:p>
        </w:tc>
        <w:tc>
          <w:tcPr>
            <w:tcW w:w="234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 xml:space="preserve">Intravenous methylprednisolone 1000 mg/day for 3 days (started 46 days after Pembrolizumab dose due to delay in HLH diagnosis). After the pulse steroid </w:t>
            </w:r>
            <w:r w:rsidRPr="00EE47A0">
              <w:rPr>
                <w:rFonts w:cstheme="minorHAnsi"/>
                <w:sz w:val="24"/>
                <w:szCs w:val="24"/>
              </w:rPr>
              <w:lastRenderedPageBreak/>
              <w:t>therapy, received 60 mg/day (1 mg/kg/day) of prednisolone, which was tapered to 50 mg/day within 4 weeks</w:t>
            </w:r>
          </w:p>
        </w:tc>
        <w:tc>
          <w:tcPr>
            <w:tcW w:w="153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lastRenderedPageBreak/>
              <w:t xml:space="preserve">Steroid pulse therapy rapidly alleviated fever, rashes, and abnormal laboratory </w:t>
            </w:r>
            <w:r w:rsidRPr="00EE47A0">
              <w:rPr>
                <w:rFonts w:cstheme="minorHAnsi"/>
                <w:sz w:val="24"/>
                <w:szCs w:val="24"/>
              </w:rPr>
              <w:lastRenderedPageBreak/>
              <w:t>values.</w:t>
            </w:r>
          </w:p>
        </w:tc>
        <w:tc>
          <w:tcPr>
            <w:tcW w:w="144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lastRenderedPageBreak/>
              <w:t>Suspected immune mediated hepatitis</w:t>
            </w:r>
          </w:p>
        </w:tc>
      </w:tr>
      <w:tr w:rsidR="000E4757" w:rsidRPr="00EE47A0" w:rsidTr="00454172">
        <w:trPr>
          <w:trHeight w:val="315"/>
        </w:trPr>
        <w:tc>
          <w:tcPr>
            <w:cnfStyle w:val="001000000000"/>
            <w:tcW w:w="700" w:type="dxa"/>
            <w:hideMark/>
          </w:tcPr>
          <w:p w:rsidR="000E4757" w:rsidRPr="00EE47A0" w:rsidRDefault="000E4757" w:rsidP="00454172">
            <w:pPr>
              <w:spacing w:line="480" w:lineRule="auto"/>
              <w:rPr>
                <w:rFonts w:cstheme="minorHAnsi"/>
                <w:sz w:val="24"/>
                <w:szCs w:val="24"/>
              </w:rPr>
            </w:pPr>
            <w:r w:rsidRPr="00EE47A0">
              <w:rPr>
                <w:rFonts w:cstheme="minorHAnsi"/>
                <w:sz w:val="24"/>
                <w:szCs w:val="24"/>
              </w:rPr>
              <w:lastRenderedPageBreak/>
              <w:t>2</w:t>
            </w:r>
          </w:p>
        </w:tc>
        <w:tc>
          <w:tcPr>
            <w:tcW w:w="1478"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Kalmuk, 2020</w:t>
            </w:r>
            <w:r>
              <w:rPr>
                <w:rFonts w:cstheme="minorHAnsi"/>
                <w:sz w:val="24"/>
                <w:szCs w:val="24"/>
              </w:rPr>
              <w:fldChar w:fldCharType="begin"/>
            </w:r>
            <w:r>
              <w:rPr>
                <w:rFonts w:cstheme="minorHAnsi"/>
                <w:sz w:val="24"/>
                <w:szCs w:val="24"/>
              </w:rPr>
              <w:instrText xml:space="preserve"> ADDIN ZOTERO_ITEM CSL_CITATION {"citationID":"EU3Uc4Mq","properties":{"formattedCitation":"\\super 13\\nosupersub{}","plainCitation":"13","noteIndex":0},"citationItems":[{"id":379,"uris":["http://zotero.org/users/7954636/items/NYMYE8YI"],"uri":["http://zotero.org/users/7954636/items/NYMYE8YI"],"itemData":{"id":379,"type":"article-journal","abstract":"As the number of indicated malignancies for which immune checkpoint inhibitor therapy such as pembrolizumab grows the descriptions of associated immune-related adverse events (irAEs) increases as well. On rare occasions immunotherapy can lead to development of Hemophagocytic Lymphohistiocytosis (HLH) which is a potentially lethal inflammatory disorder characterized by histiocyte activation and cytokine storm. At this time no cases of HLH developing in head and neck squamous cell carcinoma (HNSCC) patients receiving pembrolizumab have been reported.","container-title":"Cancers of the Head &amp; Neck","DOI":"10.1186/s41199-020-0050-3","ISSN":"2059-7347","issue":"1","journalAbbreviation":"Cancers of the Head &amp; Neck","page":"3","source":"BioMed Central","title":"Pembrolizumab-induced Hemophagocytic Lymphohistiocytosis: an immunotherapeutic challenge","title-short":"Pembrolizumab-induced Hemophagocytic Lymphohistiocytosis","volume":"5","author":[{"family":"Kalmuk","given":"James"},{"family":"Puchalla","given":"Jon"},{"family":"Feng","given":"Gong"},{"family":"Giri","given":"Anshu"},{"family":"Kaczmar","given":"John"}],"issued":{"date-parts":[["2020",2,3]]}}}],"schema":"https://github.com/citation-style-language/schema/raw/master/csl-citation.json"} </w:instrText>
            </w:r>
            <w:r>
              <w:rPr>
                <w:rFonts w:cstheme="minorHAnsi"/>
                <w:sz w:val="24"/>
                <w:szCs w:val="24"/>
              </w:rPr>
              <w:fldChar w:fldCharType="separate"/>
            </w:r>
            <w:r w:rsidRPr="00FE4A0A">
              <w:rPr>
                <w:rFonts w:ascii="Calibri" w:hAnsi="Calibri" w:cs="Calibri"/>
                <w:sz w:val="24"/>
                <w:szCs w:val="24"/>
                <w:vertAlign w:val="superscript"/>
              </w:rPr>
              <w:t>13</w:t>
            </w:r>
            <w:r>
              <w:rPr>
                <w:rFonts w:cstheme="minorHAnsi"/>
                <w:sz w:val="24"/>
                <w:szCs w:val="24"/>
              </w:rPr>
              <w:fldChar w:fldCharType="end"/>
            </w:r>
          </w:p>
        </w:tc>
        <w:tc>
          <w:tcPr>
            <w:tcW w:w="180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Pembrolizumab</w:t>
            </w:r>
          </w:p>
        </w:tc>
        <w:tc>
          <w:tcPr>
            <w:tcW w:w="135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Metastatic head and neck squamous cell carcinoma</w:t>
            </w:r>
          </w:p>
        </w:tc>
        <w:tc>
          <w:tcPr>
            <w:tcW w:w="90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61</w:t>
            </w:r>
          </w:p>
        </w:tc>
        <w:tc>
          <w:tcPr>
            <w:tcW w:w="72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Male</w:t>
            </w:r>
          </w:p>
        </w:tc>
        <w:tc>
          <w:tcPr>
            <w:tcW w:w="108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After cycle 14</w:t>
            </w:r>
          </w:p>
        </w:tc>
        <w:tc>
          <w:tcPr>
            <w:tcW w:w="234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Dexamethasone 10 mg/m2 and etoposide 150 mg/m2</w:t>
            </w:r>
          </w:p>
        </w:tc>
        <w:tc>
          <w:tcPr>
            <w:tcW w:w="153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 xml:space="preserve">Completed a standard HLH regimen, 3 months later, labs normalized. </w:t>
            </w:r>
            <w:r w:rsidRPr="00EE47A0">
              <w:rPr>
                <w:rFonts w:cstheme="minorHAnsi"/>
                <w:sz w:val="24"/>
                <w:szCs w:val="24"/>
              </w:rPr>
              <w:lastRenderedPageBreak/>
              <w:t xml:space="preserve">Restarted on Pembrolizumab 8 months later and no recurrence of HLH at cycle 5. </w:t>
            </w:r>
          </w:p>
        </w:tc>
        <w:tc>
          <w:tcPr>
            <w:tcW w:w="144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lastRenderedPageBreak/>
              <w:t>None</w:t>
            </w:r>
          </w:p>
        </w:tc>
      </w:tr>
      <w:tr w:rsidR="000E4757" w:rsidRPr="00EE47A0" w:rsidTr="00454172">
        <w:trPr>
          <w:cnfStyle w:val="000000100000"/>
          <w:trHeight w:val="315"/>
        </w:trPr>
        <w:tc>
          <w:tcPr>
            <w:cnfStyle w:val="001000000000"/>
            <w:tcW w:w="700" w:type="dxa"/>
            <w:hideMark/>
          </w:tcPr>
          <w:p w:rsidR="000E4757" w:rsidRPr="00EE47A0" w:rsidRDefault="000E4757" w:rsidP="00454172">
            <w:pPr>
              <w:spacing w:line="480" w:lineRule="auto"/>
              <w:rPr>
                <w:rFonts w:cstheme="minorHAnsi"/>
                <w:sz w:val="24"/>
                <w:szCs w:val="24"/>
              </w:rPr>
            </w:pPr>
            <w:r w:rsidRPr="00EE47A0">
              <w:rPr>
                <w:rFonts w:cstheme="minorHAnsi"/>
                <w:sz w:val="24"/>
                <w:szCs w:val="24"/>
              </w:rPr>
              <w:lastRenderedPageBreak/>
              <w:t>3</w:t>
            </w:r>
          </w:p>
        </w:tc>
        <w:tc>
          <w:tcPr>
            <w:tcW w:w="1478"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Thummalapalli, 2020</w:t>
            </w:r>
            <w:r w:rsidRPr="00EE47A0">
              <w:rPr>
                <w:rFonts w:cstheme="minorHAnsi"/>
                <w:sz w:val="24"/>
                <w:szCs w:val="24"/>
              </w:rPr>
              <w:fldChar w:fldCharType="begin"/>
            </w:r>
            <w:r>
              <w:rPr>
                <w:rFonts w:cstheme="minorHAnsi"/>
                <w:sz w:val="24"/>
                <w:szCs w:val="24"/>
              </w:rPr>
              <w:instrText xml:space="preserve"> ADDIN ZOTERO_ITEM CSL_CITATION {"citationID":"8Pv3Ksrq","properties":{"formattedCitation":"\\super 28\\nosupersub{}","plainCitation":"28","noteIndex":0},"citationItems":[{"id":388,"uris":["http://zotero.org/users/7954636/items/UIE55DJE"],"uri":["http://zotero.org/users/7954636/items/UIE55DJE"],"itemData":{"id":388,"type":"article-journal","abstract":"Immune checkpoint inhibition (ICI)-based approaches have transformed the treatment landscape of numerous solid tumors. Glioblastoma (GBM) is an aggressive and almost universally fatal disease which is in need of novel treatment options, and combinations of immune checkpoint inhibitors, including dual agent therapy, are starting to be explored in refractory GBM. Growing adoption of ICI-based approaches in solid tumors has been met with improved understanding of immune-related adverse events (IRAEs), including primary hematologic adverse events. Although management guidelines for multiple hematologic IRAEs have been established, the emergence of hemophagocytic lymphohistiocytosis (HLH) secondary to ICI therapy has only rarely been described, and its pathogenesis and optimal management are incompletely understood. We present the case of a 74-year-old male with a history of refractory GBM treated with PD-1 and indoleamine-pyrrole 2,3-dioxygenase (IDO) inhibition who experienced acute liver injury, followed by progressive fevers, altered mental status, and cytopenias. Serum studies and examination of spleen and bone marrow pathology were consistent with HLH, which was refractory to steroids and ultimately resulted in his rapid clinical decline. Here, we review prior cases of HLH secondary to ICI therapy across solid tumors, and explore potential mechanisms contributing to the rapid onset and refractory nature of our patient's HLH syndrome. We hope to further highlight HLH as an emerging hematologic IRAE secondary to ICI therapy, and suggest that new practice guidelines begin to recognize HLH as a characteristic hematologic IRAE in patients treated with PD-1 and other immune checkpoint inhibitors.","container-title":"Case Reports in Oncology","DOI":"10.1159/000507281","ISSN":"1662-6575","issue":"2","journalAbbreviation":"Case Rep Oncol","note":"PMID: 32518546\nPMCID: PMC7265705","page":"508-514","source":"PubMed Central","title":"Hemophagocytic Lymphohistiocytosis Secondary to PD-1 and IDO Inhibition in a Patient with Refractory Glioblastoma","volume":"13","author":[{"family":"Thummalapalli","given":"Rohit"},{"family":"Heumann","given":"Thatcher"},{"family":"Stein","given":"Julie"},{"family":"Khan","given":"Sarah"},{"family":"Priemer","given":"David S."},{"family":"Duffield","given":"Amy S."},{"family":"Laterra","given":"John"},{"family":"Couzi","given":"Rima"},{"family":"Lim","given":"Michael"},{"family":"Holdhoff","given":"Matthias"}],"issued":{"date-parts":[["2020",5,12]]}}}],"schema":"https://github.com/citation-style-language/schema/raw/master/csl-citation.json"} </w:instrText>
            </w:r>
            <w:r w:rsidRPr="00EE47A0">
              <w:rPr>
                <w:rFonts w:cstheme="minorHAnsi"/>
                <w:sz w:val="24"/>
                <w:szCs w:val="24"/>
              </w:rPr>
              <w:fldChar w:fldCharType="separate"/>
            </w:r>
            <w:r w:rsidRPr="00FE4A0A">
              <w:rPr>
                <w:rFonts w:ascii="Calibri" w:hAnsi="Calibri" w:cs="Calibri"/>
                <w:sz w:val="24"/>
                <w:szCs w:val="24"/>
                <w:vertAlign w:val="superscript"/>
              </w:rPr>
              <w:t>28</w:t>
            </w:r>
            <w:r w:rsidRPr="00EE47A0">
              <w:rPr>
                <w:rFonts w:cstheme="minorHAnsi"/>
                <w:sz w:val="24"/>
                <w:szCs w:val="24"/>
              </w:rPr>
              <w:fldChar w:fldCharType="end"/>
            </w:r>
          </w:p>
        </w:tc>
        <w:tc>
          <w:tcPr>
            <w:tcW w:w="180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Nivolumab</w:t>
            </w:r>
          </w:p>
        </w:tc>
        <w:tc>
          <w:tcPr>
            <w:tcW w:w="135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Glioblastoma</w:t>
            </w:r>
          </w:p>
        </w:tc>
        <w:tc>
          <w:tcPr>
            <w:tcW w:w="90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74</w:t>
            </w:r>
          </w:p>
        </w:tc>
        <w:tc>
          <w:tcPr>
            <w:tcW w:w="72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Male</w:t>
            </w:r>
          </w:p>
        </w:tc>
        <w:tc>
          <w:tcPr>
            <w:tcW w:w="108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On cycle 2, day 17</w:t>
            </w:r>
          </w:p>
        </w:tc>
        <w:tc>
          <w:tcPr>
            <w:tcW w:w="234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Intravenous methylprednisolone followed by oral prednisone</w:t>
            </w:r>
          </w:p>
        </w:tc>
        <w:tc>
          <w:tcPr>
            <w:tcW w:w="153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 xml:space="preserve">No response, transitioned to comfort measures, patient expired on day 15 of </w:t>
            </w:r>
            <w:r w:rsidRPr="00EE47A0">
              <w:rPr>
                <w:rFonts w:cstheme="minorHAnsi"/>
                <w:sz w:val="24"/>
                <w:szCs w:val="24"/>
              </w:rPr>
              <w:lastRenderedPageBreak/>
              <w:t>admission</w:t>
            </w:r>
          </w:p>
        </w:tc>
        <w:tc>
          <w:tcPr>
            <w:tcW w:w="144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lastRenderedPageBreak/>
              <w:t>None</w:t>
            </w:r>
          </w:p>
        </w:tc>
      </w:tr>
      <w:tr w:rsidR="000E4757" w:rsidRPr="00EE47A0" w:rsidTr="00454172">
        <w:trPr>
          <w:trHeight w:val="315"/>
        </w:trPr>
        <w:tc>
          <w:tcPr>
            <w:cnfStyle w:val="001000000000"/>
            <w:tcW w:w="700" w:type="dxa"/>
            <w:hideMark/>
          </w:tcPr>
          <w:p w:rsidR="000E4757" w:rsidRPr="00EE47A0" w:rsidRDefault="000E4757" w:rsidP="00454172">
            <w:pPr>
              <w:spacing w:line="480" w:lineRule="auto"/>
              <w:rPr>
                <w:rFonts w:cstheme="minorHAnsi"/>
                <w:sz w:val="24"/>
                <w:szCs w:val="24"/>
              </w:rPr>
            </w:pPr>
            <w:r w:rsidRPr="00EE47A0">
              <w:rPr>
                <w:rFonts w:cstheme="minorHAnsi"/>
                <w:sz w:val="24"/>
                <w:szCs w:val="24"/>
              </w:rPr>
              <w:lastRenderedPageBreak/>
              <w:t>4</w:t>
            </w:r>
          </w:p>
        </w:tc>
        <w:tc>
          <w:tcPr>
            <w:tcW w:w="1478"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Hantel, 2018</w:t>
            </w:r>
            <w:r w:rsidRPr="00EE47A0">
              <w:rPr>
                <w:rFonts w:cstheme="minorHAnsi"/>
                <w:sz w:val="24"/>
                <w:szCs w:val="24"/>
              </w:rPr>
              <w:fldChar w:fldCharType="begin"/>
            </w:r>
            <w:r>
              <w:rPr>
                <w:rFonts w:cstheme="minorHAnsi"/>
                <w:sz w:val="24"/>
                <w:szCs w:val="24"/>
              </w:rPr>
              <w:instrText xml:space="preserve"> ADDIN ZOTERO_ITEM CSL_CITATION {"citationID":"H2e6CyVP","properties":{"formattedCitation":"\\super 29\\nosupersub{}","plainCitation":"29","noteIndex":0},"citationItems":[{"id":422,"uris":["http://zotero.org/users/7954636/items/TY6DIBHG"],"uri":["http://zotero.org/users/7954636/items/TY6DIBHG"],"itemData":{"id":422,"type":"webpage","title":"Severe hemophagocytic lymphohistiocytosis in a melanoma patient treated with ipilimumab + nivolumab | Journal for ImmunoTherapy of Cancer","URL":"https://jitc.bmj.com/content/6/1/73","accessed":{"date-parts":[["2021",7,6]]}}}],"schema":"https://github.com/citation-style-language/schema/raw/master/csl-citation.json"} </w:instrText>
            </w:r>
            <w:r w:rsidRPr="00EE47A0">
              <w:rPr>
                <w:rFonts w:cstheme="minorHAnsi"/>
                <w:sz w:val="24"/>
                <w:szCs w:val="24"/>
              </w:rPr>
              <w:fldChar w:fldCharType="separate"/>
            </w:r>
            <w:r w:rsidRPr="00FE4A0A">
              <w:rPr>
                <w:rFonts w:ascii="Calibri" w:hAnsi="Calibri" w:cs="Calibri"/>
                <w:sz w:val="24"/>
                <w:szCs w:val="24"/>
                <w:vertAlign w:val="superscript"/>
              </w:rPr>
              <w:t>29</w:t>
            </w:r>
            <w:r w:rsidRPr="00EE47A0">
              <w:rPr>
                <w:rFonts w:cstheme="minorHAnsi"/>
                <w:sz w:val="24"/>
                <w:szCs w:val="24"/>
              </w:rPr>
              <w:fldChar w:fldCharType="end"/>
            </w:r>
          </w:p>
        </w:tc>
        <w:tc>
          <w:tcPr>
            <w:tcW w:w="180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Ipilimumab + Nivolumab</w:t>
            </w:r>
          </w:p>
        </w:tc>
        <w:tc>
          <w:tcPr>
            <w:tcW w:w="135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Metastatic melanoma</w:t>
            </w:r>
          </w:p>
        </w:tc>
        <w:tc>
          <w:tcPr>
            <w:tcW w:w="90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35</w:t>
            </w:r>
          </w:p>
        </w:tc>
        <w:tc>
          <w:tcPr>
            <w:tcW w:w="72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Female</w:t>
            </w:r>
          </w:p>
        </w:tc>
        <w:tc>
          <w:tcPr>
            <w:tcW w:w="108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Presented 3 weeks after 1st cycle</w:t>
            </w:r>
          </w:p>
        </w:tc>
        <w:tc>
          <w:tcPr>
            <w:tcW w:w="234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1.5 mg/kg of methyl prednisone every 8 hours decreased to 1h/g of oral prednisone</w:t>
            </w:r>
            <w:r w:rsidRPr="00EE47A0">
              <w:rPr>
                <w:rFonts w:cstheme="minorHAnsi"/>
                <w:sz w:val="24"/>
                <w:szCs w:val="24"/>
              </w:rPr>
              <w:br/>
              <w:t>She remained on high-dose steroids for 1 month before being tapered slowly down to her prior replacement dose regimen for panhypopituitarism.</w:t>
            </w:r>
          </w:p>
        </w:tc>
        <w:tc>
          <w:tcPr>
            <w:tcW w:w="153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Resolution of HLH.</w:t>
            </w:r>
          </w:p>
        </w:tc>
        <w:tc>
          <w:tcPr>
            <w:tcW w:w="144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None</w:t>
            </w:r>
          </w:p>
        </w:tc>
      </w:tr>
      <w:tr w:rsidR="000E4757" w:rsidRPr="00EE47A0" w:rsidTr="00454172">
        <w:trPr>
          <w:cnfStyle w:val="000000100000"/>
          <w:trHeight w:val="315"/>
        </w:trPr>
        <w:tc>
          <w:tcPr>
            <w:cnfStyle w:val="001000000000"/>
            <w:tcW w:w="700" w:type="dxa"/>
            <w:hideMark/>
          </w:tcPr>
          <w:p w:rsidR="000E4757" w:rsidRPr="00EE47A0" w:rsidRDefault="000E4757" w:rsidP="00454172">
            <w:pPr>
              <w:spacing w:line="480" w:lineRule="auto"/>
              <w:rPr>
                <w:rFonts w:cstheme="minorHAnsi"/>
                <w:sz w:val="24"/>
                <w:szCs w:val="24"/>
              </w:rPr>
            </w:pPr>
            <w:r w:rsidRPr="00EE47A0">
              <w:rPr>
                <w:rFonts w:cstheme="minorHAnsi"/>
                <w:sz w:val="24"/>
                <w:szCs w:val="24"/>
              </w:rPr>
              <w:lastRenderedPageBreak/>
              <w:t>5</w:t>
            </w:r>
          </w:p>
        </w:tc>
        <w:tc>
          <w:tcPr>
            <w:tcW w:w="1478"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Akagi, 2020</w:t>
            </w:r>
            <w:r w:rsidRPr="00EE47A0">
              <w:rPr>
                <w:rFonts w:cstheme="minorHAnsi"/>
                <w:sz w:val="24"/>
                <w:szCs w:val="24"/>
              </w:rPr>
              <w:fldChar w:fldCharType="begin"/>
            </w:r>
            <w:r>
              <w:rPr>
                <w:rFonts w:cstheme="minorHAnsi"/>
                <w:sz w:val="24"/>
                <w:szCs w:val="24"/>
              </w:rPr>
              <w:instrText xml:space="preserve"> ADDIN ZOTERO_ITEM CSL_CITATION {"citationID":"GVnFMJFL","properties":{"formattedCitation":"\\super 30\\nosupersub{}","plainCitation":"30","noteIndex":0},"citationItems":[{"id":424,"uris":["http://zotero.org/users/7954636/items/3RRCGWRC"],"uri":["http://zotero.org/users/7954636/items/3RRCGWRC"],"itemData":{"id":424,"type":"article-journal","abstract":"Immune checkpoint inhibitors have changed the landscape of classic cancer treatment. However, their use is associated with the emergence of new adverse events. An elderly man with rheumatoid arthritis was started on pembrolizumab for newly diagnosed advanced lung cancer. He subsequently developed hemophagocytic lymphohistiocytosis (HLH), which is potentially fatal but has not been properly established as an immune checkpoint inhibition-induced event. We herein report the case of a patient with pembrolizumab-induced HLH.","container-title":"Internal Medicine","DOI":"10.2169/internalmedicine.3889-19","issue":"8","page":"1075-1080","source":"J-Stage","title":"Hemophagocytic Lymphohistiocytosis in a Patient with Rheumatoid Arthritis on Pembrolizumab for Lung Adenocarcinoma","volume":"59","author":[{"family":"Akagi","given":"Yu"},{"family":"Awano","given":"Nobuyasu"},{"family":"Inomata","given":"Minoru"},{"family":"Kuse","given":"Naoyuki"},{"family":"Tone","given":"Mari"},{"family":"Yoshimura","given":"Hanako"},{"family":"Jo","given":"Tatsunori"},{"family":"Takada","given":"Kohei"},{"family":"Kumasaka","given":"Toshio"},{"family":"Izumo","given":"Takehiro"}],"issued":{"date-parts":[["2020"]]}}}],"schema":"https://github.com/citation-style-language/schema/raw/master/csl-citation.json"} </w:instrText>
            </w:r>
            <w:r w:rsidRPr="00EE47A0">
              <w:rPr>
                <w:rFonts w:cstheme="minorHAnsi"/>
                <w:sz w:val="24"/>
                <w:szCs w:val="24"/>
              </w:rPr>
              <w:fldChar w:fldCharType="separate"/>
            </w:r>
            <w:r w:rsidRPr="00FE4A0A">
              <w:rPr>
                <w:rFonts w:ascii="Calibri" w:hAnsi="Calibri" w:cs="Calibri"/>
                <w:sz w:val="24"/>
                <w:szCs w:val="24"/>
                <w:vertAlign w:val="superscript"/>
              </w:rPr>
              <w:t>30</w:t>
            </w:r>
            <w:r w:rsidRPr="00EE47A0">
              <w:rPr>
                <w:rFonts w:cstheme="minorHAnsi"/>
                <w:sz w:val="24"/>
                <w:szCs w:val="24"/>
              </w:rPr>
              <w:fldChar w:fldCharType="end"/>
            </w:r>
          </w:p>
        </w:tc>
        <w:tc>
          <w:tcPr>
            <w:tcW w:w="180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Pembrolizumab</w:t>
            </w:r>
          </w:p>
        </w:tc>
        <w:tc>
          <w:tcPr>
            <w:tcW w:w="135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Lung adenocarcinoma</w:t>
            </w:r>
          </w:p>
        </w:tc>
        <w:tc>
          <w:tcPr>
            <w:tcW w:w="90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74</w:t>
            </w:r>
          </w:p>
        </w:tc>
        <w:tc>
          <w:tcPr>
            <w:tcW w:w="72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Male</w:t>
            </w:r>
          </w:p>
        </w:tc>
        <w:tc>
          <w:tcPr>
            <w:tcW w:w="108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7 days</w:t>
            </w:r>
          </w:p>
        </w:tc>
        <w:tc>
          <w:tcPr>
            <w:tcW w:w="234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1,000 mg of high-dose methylprednisolone once followed by dexamethasone 10mg/m2 and etoposide 150mg/ m2</w:t>
            </w:r>
          </w:p>
        </w:tc>
        <w:tc>
          <w:tcPr>
            <w:tcW w:w="153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Of note, developed bone marrow suppression and neutropenic sepsis secondary to etoposide which subsequently resolved.</w:t>
            </w:r>
          </w:p>
        </w:tc>
        <w:tc>
          <w:tcPr>
            <w:tcW w:w="144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None</w:t>
            </w:r>
          </w:p>
        </w:tc>
      </w:tr>
      <w:tr w:rsidR="000E4757" w:rsidRPr="00EE47A0" w:rsidTr="00454172">
        <w:trPr>
          <w:trHeight w:val="315"/>
        </w:trPr>
        <w:tc>
          <w:tcPr>
            <w:cnfStyle w:val="001000000000"/>
            <w:tcW w:w="700" w:type="dxa"/>
            <w:hideMark/>
          </w:tcPr>
          <w:p w:rsidR="000E4757" w:rsidRPr="00EE47A0" w:rsidRDefault="000E4757" w:rsidP="00454172">
            <w:pPr>
              <w:spacing w:line="480" w:lineRule="auto"/>
              <w:rPr>
                <w:rFonts w:cstheme="minorHAnsi"/>
                <w:sz w:val="24"/>
                <w:szCs w:val="24"/>
              </w:rPr>
            </w:pPr>
            <w:r w:rsidRPr="00EE47A0">
              <w:rPr>
                <w:rFonts w:cstheme="minorHAnsi"/>
                <w:sz w:val="24"/>
                <w:szCs w:val="24"/>
              </w:rPr>
              <w:t>6</w:t>
            </w:r>
          </w:p>
        </w:tc>
        <w:tc>
          <w:tcPr>
            <w:tcW w:w="1478"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 xml:space="preserve">Sadaat, </w:t>
            </w:r>
            <w:r w:rsidRPr="00EE47A0">
              <w:rPr>
                <w:rFonts w:cstheme="minorHAnsi"/>
                <w:sz w:val="24"/>
                <w:szCs w:val="24"/>
              </w:rPr>
              <w:lastRenderedPageBreak/>
              <w:t>2018</w:t>
            </w:r>
            <w:r w:rsidRPr="00EE47A0">
              <w:rPr>
                <w:rFonts w:cstheme="minorHAnsi"/>
                <w:sz w:val="24"/>
                <w:szCs w:val="24"/>
              </w:rPr>
              <w:fldChar w:fldCharType="begin"/>
            </w:r>
            <w:r>
              <w:rPr>
                <w:rFonts w:cstheme="minorHAnsi"/>
                <w:sz w:val="24"/>
                <w:szCs w:val="24"/>
              </w:rPr>
              <w:instrText xml:space="preserve"> ADDIN ZOTERO_ITEM CSL_CITATION {"citationID":"yBStaR0y","properties":{"formattedCitation":"\\super 15\\nosupersub{}","plainCitation":"15","noteIndex":0},"citationItems":[{"id":385,"uris":["http://zotero.org/users/7954636/items/6H87LBWL"],"uri":["http://zotero.org/users/7954636/items/6H87LBWL"],"itemData":{"id":385,"type":"article-journal","abstract":"Background\nHemophagocytic Lymphohistiocytosis (HLH), a rare but potentially fatal syndrome of immune hyperactivation, may be an under-recognized immune-related adverse event (irAE). Unlike other irAEs, HLH triggered by immune checkpoint blockade is not well described; no particular diagnostic guidelines and treatment regimens exist. The HLH-2004 criteria remain as the common diagnostic guide. For the treatment of HLH, various combinations of chemotherapeutic, immunosuppressive and glucocorticoid agents are used.\n\nCase presentation\nWe report a case of HLH in a 58-year-old metastatic melanoma patient who was undergoing immune checkpoint blockade with pembrolizumab, a programmed cell death-1 (PD-1) receptor inhibitor. The patient presented with fever, upper normal sized spleen, anemia, thrombocytopenia, hypertriglyceridemia, hyperferritinemia, reduced NK cell activity and elevated sCD163 levels, fulfilling the Histiocyte Society HLH-2004 diagnostic criteria. Our patient was successfully treated with oral prednisone (1 mg/kilogram/day), suggesting that HLH from immune checkpoint inhibitors may respond to steroids alone.\n\nConclusion\nEarly diagnosis and treatment of HLH are critical to avoid progressive tissue damage, organ failure and possibly death. HLH should be suspected in clinical presentations with fever, cytopenias and hyperinflammatory markers. HLH in the setting of immune checkpoint blockade may be treated with steroids only but further evidence is required.","container-title":"Journal for Immunotherapy of Cancer","DOI":"10.1186/s40425-018-0365-3","ISSN":"2051-1426","journalAbbreviation":"J Immunother Cancer","note":"PMID: 29871698\nPMCID: PMC5989389","source":"PubMed Central","title":"Hemophagocytic lymphohistiocytosis with immunotherapy: brief review and case report","title-short":"Hemophagocytic lymphohistiocytosis with immunotherapy","URL":"https://www.ncbi.nlm.nih.gov/pmc/articles/PMC5989389/","volume":"6","author":[{"family":"Sadaat","given":"Masood"},{"family":"Jang","given":"Sekwon"}],"accessed":{"date-parts":[["2021",5,22]]},"issued":{"date-parts":[["2018",6,5]]}}}],"schema":"https://github.com/citation-style-language/schema/raw/master/csl-citation.json"} </w:instrText>
            </w:r>
            <w:r w:rsidRPr="00EE47A0">
              <w:rPr>
                <w:rFonts w:cstheme="minorHAnsi"/>
                <w:sz w:val="24"/>
                <w:szCs w:val="24"/>
              </w:rPr>
              <w:fldChar w:fldCharType="separate"/>
            </w:r>
            <w:r w:rsidRPr="00FE4A0A">
              <w:rPr>
                <w:rFonts w:ascii="Calibri" w:hAnsi="Calibri" w:cs="Calibri"/>
                <w:sz w:val="24"/>
                <w:szCs w:val="24"/>
                <w:vertAlign w:val="superscript"/>
              </w:rPr>
              <w:t>15</w:t>
            </w:r>
            <w:r w:rsidRPr="00EE47A0">
              <w:rPr>
                <w:rFonts w:cstheme="minorHAnsi"/>
                <w:sz w:val="24"/>
                <w:szCs w:val="24"/>
              </w:rPr>
              <w:fldChar w:fldCharType="end"/>
            </w:r>
          </w:p>
        </w:tc>
        <w:tc>
          <w:tcPr>
            <w:tcW w:w="180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lastRenderedPageBreak/>
              <w:t>Pembrolizumab</w:t>
            </w:r>
          </w:p>
        </w:tc>
        <w:tc>
          <w:tcPr>
            <w:tcW w:w="135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 xml:space="preserve">Metastatic </w:t>
            </w:r>
            <w:r w:rsidRPr="00EE47A0">
              <w:rPr>
                <w:rFonts w:cstheme="minorHAnsi"/>
                <w:sz w:val="24"/>
                <w:szCs w:val="24"/>
              </w:rPr>
              <w:lastRenderedPageBreak/>
              <w:t>melanoma</w:t>
            </w:r>
          </w:p>
        </w:tc>
        <w:tc>
          <w:tcPr>
            <w:tcW w:w="90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lastRenderedPageBreak/>
              <w:t>58</w:t>
            </w:r>
          </w:p>
        </w:tc>
        <w:tc>
          <w:tcPr>
            <w:tcW w:w="72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Male</w:t>
            </w:r>
          </w:p>
        </w:tc>
        <w:tc>
          <w:tcPr>
            <w:tcW w:w="108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NA</w:t>
            </w:r>
          </w:p>
        </w:tc>
        <w:tc>
          <w:tcPr>
            <w:tcW w:w="234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 xml:space="preserve">Oral prednisone </w:t>
            </w:r>
            <w:r w:rsidRPr="00EE47A0">
              <w:rPr>
                <w:rFonts w:cstheme="minorHAnsi"/>
                <w:sz w:val="24"/>
                <w:szCs w:val="24"/>
              </w:rPr>
              <w:lastRenderedPageBreak/>
              <w:t>administered at 1 mg per kilogram per</w:t>
            </w:r>
            <w:r w:rsidRPr="00EE47A0">
              <w:rPr>
                <w:rFonts w:cstheme="minorHAnsi"/>
                <w:sz w:val="24"/>
                <w:szCs w:val="24"/>
              </w:rPr>
              <w:br/>
              <w:t>day. After 5 weeks of steroid dose</w:t>
            </w:r>
            <w:r w:rsidRPr="00EE47A0">
              <w:rPr>
                <w:rFonts w:cstheme="minorHAnsi"/>
                <w:sz w:val="24"/>
                <w:szCs w:val="24"/>
              </w:rPr>
              <w:br/>
              <w:t>was tapered over 7 weeks</w:t>
            </w:r>
          </w:p>
        </w:tc>
        <w:tc>
          <w:tcPr>
            <w:tcW w:w="153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lastRenderedPageBreak/>
              <w:t xml:space="preserve">Resolution of </w:t>
            </w:r>
            <w:r w:rsidRPr="00EE47A0">
              <w:rPr>
                <w:rFonts w:cstheme="minorHAnsi"/>
                <w:sz w:val="24"/>
                <w:szCs w:val="24"/>
              </w:rPr>
              <w:lastRenderedPageBreak/>
              <w:t>HLH</w:t>
            </w:r>
          </w:p>
        </w:tc>
        <w:tc>
          <w:tcPr>
            <w:tcW w:w="144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lastRenderedPageBreak/>
              <w:t>None</w:t>
            </w:r>
          </w:p>
        </w:tc>
      </w:tr>
      <w:tr w:rsidR="000E4757" w:rsidRPr="00EE47A0" w:rsidTr="00454172">
        <w:trPr>
          <w:cnfStyle w:val="000000100000"/>
          <w:trHeight w:val="315"/>
        </w:trPr>
        <w:tc>
          <w:tcPr>
            <w:cnfStyle w:val="001000000000"/>
            <w:tcW w:w="700" w:type="dxa"/>
            <w:hideMark/>
          </w:tcPr>
          <w:p w:rsidR="000E4757" w:rsidRPr="00EE47A0" w:rsidRDefault="000E4757" w:rsidP="00454172">
            <w:pPr>
              <w:spacing w:line="480" w:lineRule="auto"/>
              <w:rPr>
                <w:rFonts w:cstheme="minorHAnsi"/>
                <w:sz w:val="24"/>
                <w:szCs w:val="24"/>
              </w:rPr>
            </w:pPr>
            <w:r w:rsidRPr="00EE47A0">
              <w:rPr>
                <w:rFonts w:cstheme="minorHAnsi"/>
                <w:sz w:val="24"/>
                <w:szCs w:val="24"/>
              </w:rPr>
              <w:lastRenderedPageBreak/>
              <w:t>7</w:t>
            </w:r>
          </w:p>
        </w:tc>
        <w:tc>
          <w:tcPr>
            <w:tcW w:w="1478"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Laderian, 2019</w:t>
            </w:r>
            <w:r w:rsidRPr="00EE47A0">
              <w:rPr>
                <w:rFonts w:cstheme="minorHAnsi"/>
                <w:sz w:val="24"/>
                <w:szCs w:val="24"/>
              </w:rPr>
              <w:fldChar w:fldCharType="begin"/>
            </w:r>
            <w:r>
              <w:rPr>
                <w:rFonts w:cstheme="minorHAnsi"/>
                <w:sz w:val="24"/>
                <w:szCs w:val="24"/>
              </w:rPr>
              <w:instrText xml:space="preserve"> ADDIN ZOTERO_ITEM CSL_CITATION {"citationID":"un81GwUw","properties":{"formattedCitation":"\\super 31\\nosupersub{}","plainCitation":"31","noteIndex":0},"citationItems":[{"id":427,"uris":["http://zotero.org/users/7954636/items/4EVEPBTR"],"uri":["http://zotero.org/users/7954636/items/4EVEPBTR"],"itemData":{"id":427,"type":"article-journal","abstract":"A 49-year-old man with history of schizoaffective disorder and psoriasis received\npembrolizumab for metastatic thymic carcinoma. Before starting immune checkpoint inhibitor,\nhis cancer had progressed on multiagent chemotherapy. Psoriasis was limited to skin\nonly and involved less than 5% of total body surface area. It remained under control\nwith topical medications during the course of anti–programmed death 1 (PD-1) therapy.\nThe patient continued to derive clinical benefit from pembrolizumab for more than\na year.","container-title":"Journal of Thoracic Oncology","DOI":"10.1016/j.jtho.2018.11.035","ISSN":"1556-0864","issue":"4","journalAbbreviation":"Journal of Thoracic Oncology","language":"English","note":"publisher: Elsevier\nPMID: 30922584","page":"e77-e78","source":"www.jto.org","title":"Association of Hemophagocytic Lymphohistiocytosis and Programmed Death 1 Checkpoint Inhibitors","volume":"14","author":[{"family":"Laderian","given":"Behnam"},{"family":"Koehn","given":"Kelly"},{"family":"Holman","given":"Carol"},{"family":"Lyckholm","given":"Laurel"},{"family":"Furqan","given":"Muhammad"}],"issued":{"date-parts":[["2019",4,1]]}}}],"schema":"https://github.com/citation-style-language/schema/raw/master/csl-citation.json"} </w:instrText>
            </w:r>
            <w:r w:rsidRPr="00EE47A0">
              <w:rPr>
                <w:rFonts w:cstheme="minorHAnsi"/>
                <w:sz w:val="24"/>
                <w:szCs w:val="24"/>
              </w:rPr>
              <w:fldChar w:fldCharType="separate"/>
            </w:r>
            <w:r w:rsidRPr="00FE4A0A">
              <w:rPr>
                <w:rFonts w:ascii="Calibri" w:hAnsi="Calibri" w:cs="Calibri"/>
                <w:sz w:val="24"/>
                <w:szCs w:val="24"/>
                <w:vertAlign w:val="superscript"/>
              </w:rPr>
              <w:t>31</w:t>
            </w:r>
            <w:r w:rsidRPr="00EE47A0">
              <w:rPr>
                <w:rFonts w:cstheme="minorHAnsi"/>
                <w:sz w:val="24"/>
                <w:szCs w:val="24"/>
              </w:rPr>
              <w:fldChar w:fldCharType="end"/>
            </w:r>
          </w:p>
        </w:tc>
        <w:tc>
          <w:tcPr>
            <w:tcW w:w="180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Pembrolizumab</w:t>
            </w:r>
          </w:p>
        </w:tc>
        <w:tc>
          <w:tcPr>
            <w:tcW w:w="135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Metastatic Thymic carcinoma</w:t>
            </w:r>
          </w:p>
        </w:tc>
        <w:tc>
          <w:tcPr>
            <w:tcW w:w="90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49</w:t>
            </w:r>
          </w:p>
        </w:tc>
        <w:tc>
          <w:tcPr>
            <w:tcW w:w="72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Male</w:t>
            </w:r>
          </w:p>
        </w:tc>
        <w:tc>
          <w:tcPr>
            <w:tcW w:w="108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1 year</w:t>
            </w:r>
          </w:p>
        </w:tc>
        <w:tc>
          <w:tcPr>
            <w:tcW w:w="234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High dose steroids, anakinra, IVIG</w:t>
            </w:r>
          </w:p>
        </w:tc>
        <w:tc>
          <w:tcPr>
            <w:tcW w:w="153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Death</w:t>
            </w:r>
          </w:p>
        </w:tc>
        <w:tc>
          <w:tcPr>
            <w:tcW w:w="144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None</w:t>
            </w:r>
          </w:p>
        </w:tc>
      </w:tr>
      <w:tr w:rsidR="000E4757" w:rsidRPr="00EE47A0" w:rsidTr="00454172">
        <w:trPr>
          <w:trHeight w:val="315"/>
        </w:trPr>
        <w:tc>
          <w:tcPr>
            <w:cnfStyle w:val="001000000000"/>
            <w:tcW w:w="700" w:type="dxa"/>
            <w:hideMark/>
          </w:tcPr>
          <w:p w:rsidR="000E4757" w:rsidRPr="00EE47A0" w:rsidRDefault="000E4757" w:rsidP="00454172">
            <w:pPr>
              <w:spacing w:line="480" w:lineRule="auto"/>
              <w:rPr>
                <w:rFonts w:cstheme="minorHAnsi"/>
                <w:sz w:val="24"/>
                <w:szCs w:val="24"/>
              </w:rPr>
            </w:pPr>
            <w:r w:rsidRPr="00EE47A0">
              <w:rPr>
                <w:rFonts w:cstheme="minorHAnsi"/>
                <w:sz w:val="24"/>
                <w:szCs w:val="24"/>
              </w:rPr>
              <w:t>8</w:t>
            </w:r>
          </w:p>
        </w:tc>
        <w:tc>
          <w:tcPr>
            <w:tcW w:w="1478"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Sasaki, 2018</w:t>
            </w:r>
            <w:r w:rsidRPr="00EE47A0">
              <w:rPr>
                <w:rFonts w:cstheme="minorHAnsi"/>
                <w:sz w:val="24"/>
                <w:szCs w:val="24"/>
              </w:rPr>
              <w:fldChar w:fldCharType="begin"/>
            </w:r>
            <w:r>
              <w:rPr>
                <w:rFonts w:cstheme="minorHAnsi"/>
                <w:sz w:val="24"/>
                <w:szCs w:val="24"/>
              </w:rPr>
              <w:instrText xml:space="preserve"> ADDIN ZOTERO_ITEM CSL_CITATION {"citationID":"3HLUpe7T","properties":{"formattedCitation":"\\super 32\\nosupersub{}","plainCitation":"32","noteIndex":0},"citationItems":[{"id":431,"uris":["http://zotero.org/users/7954636/items/Z5NS4UAT"],"uri":["http://zotero.org/users/7954636/items/Z5NS4UAT"],"itemData":{"id":431,"type":"article-journal","abstract":"Hemophagocytic lymphohistiocytosis (HLH) is a life-threatening disorder characterized\nby fever, skin rashes, cytopenia, and the presence of hemophagocytosis in bone marrow.\nWe report a case of HLH that developed during dabrafenib and trametinib combination\ntherapy following pembrolizumab administration for advanced melanoma.","container-title":"Annals of Oncology","DOI":"10.1093/annonc/mdy175","ISSN":"0923-7534, 1569-8041","issue":"7","journalAbbreviation":"Annals of Oncology","language":"English","note":"publisher: Elsevier\nPMID: 29741568","page":"1602-1603","source":"www.annalsofoncology.org","title":"Hemophagocytic lymphohistiocytosis associated with dabrafenib and trametinib combination therapy following pembrolizumab administration for advanced melanoma","volume":"29","author":[{"family":"Sasaki","given":"K."},{"family":"Uehara","given":"J."},{"family":"Iinuma","given":"S."},{"family":"Doi","given":"H."},{"family":"Honma","given":"M."},{"family":"Toki","given":"Y."},{"family":"Ishida-Yamamoto","given":"A."}],"issued":{"date-parts":[["2018",7,1]]}}}],"schema":"https://github.com/citation-style-language/schema/raw/master/csl-citation.json"} </w:instrText>
            </w:r>
            <w:r w:rsidRPr="00EE47A0">
              <w:rPr>
                <w:rFonts w:cstheme="minorHAnsi"/>
                <w:sz w:val="24"/>
                <w:szCs w:val="24"/>
              </w:rPr>
              <w:fldChar w:fldCharType="separate"/>
            </w:r>
            <w:r w:rsidRPr="00FE4A0A">
              <w:rPr>
                <w:rFonts w:ascii="Calibri" w:hAnsi="Calibri" w:cs="Calibri"/>
                <w:sz w:val="24"/>
                <w:szCs w:val="24"/>
                <w:vertAlign w:val="superscript"/>
              </w:rPr>
              <w:t>32</w:t>
            </w:r>
            <w:r w:rsidRPr="00EE47A0">
              <w:rPr>
                <w:rFonts w:cstheme="minorHAnsi"/>
                <w:sz w:val="24"/>
                <w:szCs w:val="24"/>
              </w:rPr>
              <w:fldChar w:fldCharType="end"/>
            </w:r>
          </w:p>
        </w:tc>
        <w:tc>
          <w:tcPr>
            <w:tcW w:w="180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 xml:space="preserve">Dabrafenib and trametinib combination therapy following </w:t>
            </w:r>
            <w:r w:rsidRPr="00EE47A0">
              <w:rPr>
                <w:rFonts w:cstheme="minorHAnsi"/>
                <w:sz w:val="24"/>
                <w:szCs w:val="24"/>
              </w:rPr>
              <w:lastRenderedPageBreak/>
              <w:t>Pembrolizumab</w:t>
            </w:r>
          </w:p>
        </w:tc>
        <w:tc>
          <w:tcPr>
            <w:tcW w:w="135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lastRenderedPageBreak/>
              <w:t>Metastatic melanoma</w:t>
            </w:r>
          </w:p>
        </w:tc>
        <w:tc>
          <w:tcPr>
            <w:tcW w:w="90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60</w:t>
            </w:r>
          </w:p>
        </w:tc>
        <w:tc>
          <w:tcPr>
            <w:tcW w:w="72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Female</w:t>
            </w:r>
          </w:p>
        </w:tc>
        <w:tc>
          <w:tcPr>
            <w:tcW w:w="108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13 days</w:t>
            </w:r>
          </w:p>
        </w:tc>
        <w:tc>
          <w:tcPr>
            <w:tcW w:w="234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 xml:space="preserve">Discontinued Dabrafenib and trametinib, initiated prednisolone and later tapered over 5 </w:t>
            </w:r>
            <w:r w:rsidRPr="00EE47A0">
              <w:rPr>
                <w:rFonts w:cstheme="minorHAnsi"/>
                <w:sz w:val="24"/>
                <w:szCs w:val="24"/>
              </w:rPr>
              <w:lastRenderedPageBreak/>
              <w:t>weeks. 16 days after discontinuation, dabrafenib and trametinib were reintroduced at lower doses and gradually titrated over 4 months without any adverse effects.</w:t>
            </w:r>
          </w:p>
        </w:tc>
        <w:tc>
          <w:tcPr>
            <w:tcW w:w="153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lastRenderedPageBreak/>
              <w:t>Resolution of HLH</w:t>
            </w:r>
          </w:p>
        </w:tc>
        <w:tc>
          <w:tcPr>
            <w:tcW w:w="144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None</w:t>
            </w:r>
          </w:p>
        </w:tc>
      </w:tr>
      <w:tr w:rsidR="000E4757" w:rsidRPr="00EE47A0" w:rsidTr="00454172">
        <w:trPr>
          <w:cnfStyle w:val="000000100000"/>
          <w:trHeight w:val="315"/>
        </w:trPr>
        <w:tc>
          <w:tcPr>
            <w:cnfStyle w:val="001000000000"/>
            <w:tcW w:w="700" w:type="dxa"/>
            <w:hideMark/>
          </w:tcPr>
          <w:p w:rsidR="000E4757" w:rsidRPr="00EE47A0" w:rsidRDefault="000E4757" w:rsidP="00454172">
            <w:pPr>
              <w:spacing w:line="480" w:lineRule="auto"/>
              <w:rPr>
                <w:rFonts w:cstheme="minorHAnsi"/>
                <w:sz w:val="24"/>
                <w:szCs w:val="24"/>
              </w:rPr>
            </w:pPr>
            <w:r w:rsidRPr="00EE47A0">
              <w:rPr>
                <w:rFonts w:cstheme="minorHAnsi"/>
                <w:sz w:val="24"/>
                <w:szCs w:val="24"/>
              </w:rPr>
              <w:lastRenderedPageBreak/>
              <w:t>9</w:t>
            </w:r>
          </w:p>
        </w:tc>
        <w:tc>
          <w:tcPr>
            <w:tcW w:w="1478"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Okawa, 2018</w:t>
            </w:r>
            <w:r w:rsidRPr="00EE47A0">
              <w:rPr>
                <w:rFonts w:cstheme="minorHAnsi"/>
                <w:sz w:val="24"/>
                <w:szCs w:val="24"/>
              </w:rPr>
              <w:fldChar w:fldCharType="begin"/>
            </w:r>
            <w:r>
              <w:rPr>
                <w:rFonts w:cstheme="minorHAnsi"/>
                <w:sz w:val="24"/>
                <w:szCs w:val="24"/>
              </w:rPr>
              <w:instrText xml:space="preserve"> ADDIN ZOTERO_ITEM CSL_CITATION {"citationID":"tnIFtamR","properties":{"formattedCitation":"\\super 33\\nosupersub{}","plainCitation":"33","noteIndex":0},"citationItems":[{"id":435,"uris":["http://zotero.org/users/7954636/items/G8ABADDZ"],"uri":["http://zotero.org/users/7954636/items/G8ABADDZ"],"itemData":{"id":435,"type":"article-journal","abstract":"We herein report a 78-year old man with squamous cell carcinoma of the lungs treated with pembrolizumab. At 10 days after the administration of pembrolizumab, he showed progressive anemia and increased levels of bilirubin. Because the findings of a direct coombs test and cold hemagglutinin were positive, we diagnosed the patient with autoimmune hemolytic anemia and treated him with prednisolone. Subsequently, he was admitted to our hospital owing to fatigue, a high fever, and jaundice. His clinical findings met the diagnostic criteria of hemophagocytic lymphohistiocytosis, and he was rescued with a high dose of glucocorticoids. Marked tumor regression was obtained and has been maintained since then.","container-title":"Internal Medicine","DOI":"10.2169/internalmedicine.1001-18","issue":"5","page":"699-702","source":"J-Stage","title":"Pembrolizumab-induced Autoimmune Hemolytic Anemia and Hemophagocytic Lymphohistiocytosis in Non-small Cell Lung Cancer","volume":"58","author":[{"family":"Okawa","given":"Sachi"},{"family":"Kayatani","given":"Hiroe"},{"family":"Fujiwara","given":"Keiichi"},{"family":"Ozeki","given":"Taichi"},{"family":"Takada","given":"Kenji"},{"family":"Iwamoto","given":"Yoshitaka"},{"family":"Minami","given":"Daisuke"},{"family":"Sato","given":"Ken"},{"family":"Shibayama","given":"Takuo"}],"issued":{"date-parts":[["2019"]]}}}],"schema":"https://github.com/citation-style-language/schema/raw/master/csl-citation.json"} </w:instrText>
            </w:r>
            <w:r w:rsidRPr="00EE47A0">
              <w:rPr>
                <w:rFonts w:cstheme="minorHAnsi"/>
                <w:sz w:val="24"/>
                <w:szCs w:val="24"/>
              </w:rPr>
              <w:fldChar w:fldCharType="separate"/>
            </w:r>
            <w:r w:rsidRPr="00FE4A0A">
              <w:rPr>
                <w:rFonts w:ascii="Calibri" w:hAnsi="Calibri" w:cs="Calibri"/>
                <w:sz w:val="24"/>
                <w:szCs w:val="24"/>
                <w:vertAlign w:val="superscript"/>
              </w:rPr>
              <w:t>33</w:t>
            </w:r>
            <w:r w:rsidRPr="00EE47A0">
              <w:rPr>
                <w:rFonts w:cstheme="minorHAnsi"/>
                <w:sz w:val="24"/>
                <w:szCs w:val="24"/>
              </w:rPr>
              <w:fldChar w:fldCharType="end"/>
            </w:r>
          </w:p>
        </w:tc>
        <w:tc>
          <w:tcPr>
            <w:tcW w:w="180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Pembrolizumab</w:t>
            </w:r>
          </w:p>
        </w:tc>
        <w:tc>
          <w:tcPr>
            <w:tcW w:w="135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 xml:space="preserve">Squamous cell carcinoma of the </w:t>
            </w:r>
            <w:r w:rsidRPr="00EE47A0">
              <w:rPr>
                <w:rFonts w:cstheme="minorHAnsi"/>
                <w:sz w:val="24"/>
                <w:szCs w:val="24"/>
              </w:rPr>
              <w:lastRenderedPageBreak/>
              <w:t xml:space="preserve">lungs </w:t>
            </w:r>
          </w:p>
        </w:tc>
        <w:tc>
          <w:tcPr>
            <w:tcW w:w="90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lastRenderedPageBreak/>
              <w:t>78</w:t>
            </w:r>
          </w:p>
        </w:tc>
        <w:tc>
          <w:tcPr>
            <w:tcW w:w="72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Male</w:t>
            </w:r>
          </w:p>
        </w:tc>
        <w:tc>
          <w:tcPr>
            <w:tcW w:w="108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10 days</w:t>
            </w:r>
          </w:p>
        </w:tc>
        <w:tc>
          <w:tcPr>
            <w:tcW w:w="234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Started steroid pulse therapy followed by taper.</w:t>
            </w:r>
          </w:p>
        </w:tc>
        <w:tc>
          <w:tcPr>
            <w:tcW w:w="153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 xml:space="preserve">Resolution of HLH. Continued with </w:t>
            </w:r>
            <w:r w:rsidRPr="00EE47A0">
              <w:rPr>
                <w:rFonts w:cstheme="minorHAnsi"/>
                <w:sz w:val="24"/>
                <w:szCs w:val="24"/>
              </w:rPr>
              <w:lastRenderedPageBreak/>
              <w:t>treatment after steroids, no disease recurrence</w:t>
            </w:r>
          </w:p>
        </w:tc>
        <w:tc>
          <w:tcPr>
            <w:tcW w:w="144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lastRenderedPageBreak/>
              <w:t>Autoimmune Hemolytic Anemia</w:t>
            </w:r>
          </w:p>
        </w:tc>
      </w:tr>
      <w:tr w:rsidR="000E4757" w:rsidRPr="00EE47A0" w:rsidTr="00454172">
        <w:trPr>
          <w:trHeight w:val="315"/>
        </w:trPr>
        <w:tc>
          <w:tcPr>
            <w:cnfStyle w:val="001000000000"/>
            <w:tcW w:w="700" w:type="dxa"/>
            <w:hideMark/>
          </w:tcPr>
          <w:p w:rsidR="000E4757" w:rsidRPr="00EE47A0" w:rsidRDefault="000E4757" w:rsidP="00454172">
            <w:pPr>
              <w:spacing w:line="480" w:lineRule="auto"/>
              <w:rPr>
                <w:rFonts w:cstheme="minorHAnsi"/>
                <w:sz w:val="24"/>
                <w:szCs w:val="24"/>
              </w:rPr>
            </w:pPr>
            <w:r w:rsidRPr="00EE47A0">
              <w:rPr>
                <w:rFonts w:cstheme="minorHAnsi"/>
                <w:sz w:val="24"/>
                <w:szCs w:val="24"/>
              </w:rPr>
              <w:lastRenderedPageBreak/>
              <w:t>10</w:t>
            </w:r>
          </w:p>
        </w:tc>
        <w:tc>
          <w:tcPr>
            <w:tcW w:w="1478"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Lorenz, 2019</w:t>
            </w:r>
            <w:r w:rsidRPr="00EE47A0">
              <w:rPr>
                <w:rFonts w:cstheme="minorHAnsi"/>
                <w:sz w:val="24"/>
                <w:szCs w:val="24"/>
              </w:rPr>
              <w:fldChar w:fldCharType="begin"/>
            </w:r>
            <w:r>
              <w:rPr>
                <w:rFonts w:cstheme="minorHAnsi"/>
                <w:sz w:val="24"/>
                <w:szCs w:val="24"/>
              </w:rPr>
              <w:instrText xml:space="preserve"> ADDIN ZOTERO_ITEM CSL_CITATION {"citationID":"2sOAbZwD","properties":{"formattedCitation":"\\super 34\\nosupersub{}","plainCitation":"34","noteIndex":0},"citationItems":[{"id":438,"uris":["http://zotero.org/users/7954636/items/WZ5JGAL2"],"uri":["http://zotero.org/users/7954636/items/WZ5JGAL2"],"itemData":{"id":438,"type":"article-journal","abstract":"Rheumatology key messageFulminant steroid-resistant haemophagocytic lymphohistiocytosis secondary to pembrolizumab treated successfully by addition of tacrolimus.Sir, Haemophagocytic lymphohistiocytosis (HLH), which in context of predisposing autoimmune disease is referred to as ‘macrophage activation syndrome’, is a rare but potentially fatal condition characterized by an acute overwhelming systemic inflammatory response [1].The clinical hallmarks of this syndrome, namely high fever, splenomegaly, bi-cytopenia, hypertriglyceridaemia, high serum ferritin &amp;gt;3000 ng/ml and sIL-2-Receptor &amp;gt;2400 U/l, and proof of haemophagocytosis in bone marrow specimens, were included in the 2004 diagnostic criteria for primary HLH, which in contrast to secondary HLH, route back to monogenetic conditions and occur mainly in childhood and adolescence. Nevertheless, in principle, these criteria also appear valid for secondary HLH, as they basically aggregate the syndrome’s underlying pathophysiology: aberrant macrophage activation, polyclonal T cell activation and a consequent systemic cytokine storm [2, 3].","container-title":"Rheumatology","DOI":"10.1093/rheumatology/key447","ISSN":"1462-0324","issue":"6","journalAbbreviation":"Rheumatology","page":"1106-1109","source":"Silverchair","title":"Hemophagocytic lymphohistiocytosis secondary to pembrolizumab treatment with insufficient response to high-dose steroids","volume":"58","author":[{"family":"Lorenz","given":"Georg"},{"family":"Schul","given":"Lukas"},{"family":"Bachmann","given":"Quirin"},{"family":"Angermann","given":"Susanne"},{"family":"Slotta-Huspenina","given":"Julia"},{"family":"Heemann","given":"Uwe"},{"family":"Küchle","given":"Claudius"},{"family":"Schmaderer","given":"Christoph"},{"family":"Jäger","given":"Marion"},{"family":"Tauber","given":"Robert"},{"family":"Retz","given":"Margitta"},{"family":"Moog","given":"Philipp"}],"issued":{"date-parts":[["2019",6,1]]}}}],"schema":"https://github.com/citation-style-language/schema/raw/master/csl-citation.json"} </w:instrText>
            </w:r>
            <w:r w:rsidRPr="00EE47A0">
              <w:rPr>
                <w:rFonts w:cstheme="minorHAnsi"/>
                <w:sz w:val="24"/>
                <w:szCs w:val="24"/>
              </w:rPr>
              <w:fldChar w:fldCharType="separate"/>
            </w:r>
            <w:r w:rsidRPr="00FE4A0A">
              <w:rPr>
                <w:rFonts w:ascii="Calibri" w:hAnsi="Calibri" w:cs="Calibri"/>
                <w:sz w:val="24"/>
                <w:szCs w:val="24"/>
                <w:vertAlign w:val="superscript"/>
              </w:rPr>
              <w:t>34</w:t>
            </w:r>
            <w:r w:rsidRPr="00EE47A0">
              <w:rPr>
                <w:rFonts w:cstheme="minorHAnsi"/>
                <w:sz w:val="24"/>
                <w:szCs w:val="24"/>
              </w:rPr>
              <w:fldChar w:fldCharType="end"/>
            </w:r>
          </w:p>
        </w:tc>
        <w:tc>
          <w:tcPr>
            <w:tcW w:w="180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Pembrolizumab</w:t>
            </w:r>
          </w:p>
        </w:tc>
        <w:tc>
          <w:tcPr>
            <w:tcW w:w="135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Castration resistant prostatic</w:t>
            </w:r>
            <w:r w:rsidRPr="00EE47A0">
              <w:rPr>
                <w:rFonts w:cstheme="minorHAnsi"/>
                <w:sz w:val="24"/>
                <w:szCs w:val="24"/>
              </w:rPr>
              <w:br/>
              <w:t>cancer with bone-, lymph node- and lung metastases</w:t>
            </w:r>
            <w:r w:rsidRPr="00EE47A0">
              <w:rPr>
                <w:rFonts w:cstheme="minorHAnsi"/>
                <w:sz w:val="24"/>
                <w:szCs w:val="24"/>
              </w:rPr>
              <w:lastRenderedPageBreak/>
              <w:t>.</w:t>
            </w:r>
          </w:p>
        </w:tc>
        <w:tc>
          <w:tcPr>
            <w:tcW w:w="90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lastRenderedPageBreak/>
              <w:t>68</w:t>
            </w:r>
          </w:p>
        </w:tc>
        <w:tc>
          <w:tcPr>
            <w:tcW w:w="72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Male</w:t>
            </w:r>
          </w:p>
        </w:tc>
        <w:tc>
          <w:tcPr>
            <w:tcW w:w="108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Within a few days</w:t>
            </w:r>
          </w:p>
        </w:tc>
        <w:tc>
          <w:tcPr>
            <w:tcW w:w="234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 xml:space="preserve">High dose steroids, plasmapheresis, cyclosporin A, etoposide, and tacrolimus. </w:t>
            </w:r>
          </w:p>
        </w:tc>
        <w:tc>
          <w:tcPr>
            <w:tcW w:w="153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 xml:space="preserve">Resolution of HLH. Nine months after termination of pembrolizumab treatment, the patient </w:t>
            </w:r>
            <w:r w:rsidRPr="00EE47A0">
              <w:rPr>
                <w:rFonts w:cstheme="minorHAnsi"/>
                <w:sz w:val="24"/>
                <w:szCs w:val="24"/>
              </w:rPr>
              <w:lastRenderedPageBreak/>
              <w:t>remained free of relapse.</w:t>
            </w:r>
          </w:p>
        </w:tc>
        <w:tc>
          <w:tcPr>
            <w:tcW w:w="144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lastRenderedPageBreak/>
              <w:t>None</w:t>
            </w:r>
          </w:p>
        </w:tc>
      </w:tr>
      <w:tr w:rsidR="000E4757" w:rsidRPr="00EE47A0" w:rsidTr="00454172">
        <w:trPr>
          <w:cnfStyle w:val="000000100000"/>
          <w:trHeight w:val="315"/>
        </w:trPr>
        <w:tc>
          <w:tcPr>
            <w:cnfStyle w:val="001000000000"/>
            <w:tcW w:w="700" w:type="dxa"/>
            <w:hideMark/>
          </w:tcPr>
          <w:p w:rsidR="000E4757" w:rsidRPr="00EE47A0" w:rsidRDefault="000E4757" w:rsidP="00454172">
            <w:pPr>
              <w:spacing w:line="480" w:lineRule="auto"/>
              <w:rPr>
                <w:rFonts w:cstheme="minorHAnsi"/>
                <w:sz w:val="24"/>
                <w:szCs w:val="24"/>
              </w:rPr>
            </w:pPr>
            <w:r w:rsidRPr="00EE47A0">
              <w:rPr>
                <w:rFonts w:cstheme="minorHAnsi"/>
                <w:sz w:val="24"/>
                <w:szCs w:val="24"/>
              </w:rPr>
              <w:lastRenderedPageBreak/>
              <w:t>11</w:t>
            </w:r>
          </w:p>
        </w:tc>
        <w:tc>
          <w:tcPr>
            <w:tcW w:w="1478" w:type="dxa"/>
            <w:vMerge w:val="restart"/>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Ozdemir, 2020</w:t>
            </w:r>
            <w:r w:rsidRPr="00EE47A0">
              <w:rPr>
                <w:rFonts w:cstheme="minorHAnsi"/>
                <w:sz w:val="24"/>
                <w:szCs w:val="24"/>
              </w:rPr>
              <w:fldChar w:fldCharType="begin"/>
            </w:r>
            <w:r>
              <w:rPr>
                <w:rFonts w:cstheme="minorHAnsi"/>
                <w:sz w:val="24"/>
                <w:szCs w:val="24"/>
              </w:rPr>
              <w:instrText xml:space="preserve"> ADDIN ZOTERO_ITEM CSL_CITATION {"citationID":"PqGdaaOa","properties":{"formattedCitation":"\\super 35\\nosupersub{}","plainCitation":"35","noteIndex":0},"citationItems":[{"id":441,"uris":["http://zotero.org/users/7954636/items/9BW22Z3R"],"uri":["http://zotero.org/users/7954636/items/9BW22Z3R"],"itemData":{"id":441,"type":"article-journal","abstract":"Immune checkpoint inhibitor (ICI)-related hemophagocytic lymphohistiocytosis (HLH)\n(irHLH) is recognized as a rare immune-related adverse event (irAE) with low incidence\nof 0.03%–0.4% but potentially lethal, with high mortality rate of up to 50% in some\ncases.1-3 The main pathophysiologic feature of HLH is an excessive immune cell response\nwith overactivation and expansion of cytotoxic T cells and macrophages, resulting\nin life-threatening hyperinflammation. These activated immune cells produce large\namounts of Th1 proinflammatory cytokines, including interferon-γ (IFN-γ) and IFN-γ-induced\nchemokines, creating a ‘cytokine storm’.","container-title":"Annals of Oncology","DOI":"10.1016/j.annonc.2020.08.2101","ISSN":"0923-7534, 1569-8041","issue":"12","journalAbbreviation":"Annals of Oncology","language":"English","note":"publisher: Elsevier\nPMID: 32858151","page":"1775-1778","source":"www.annalsofoncology.org","title":"Cytokine-directed therapy with tocilizumab for immune checkpoint inhibitor-related hemophagocytic lymphohistiocytosis","volume":"31","author":[{"family":"Özdemir","given":"B. C."},{"family":"Latifyan","given":"S."},{"family":"Perreau","given":"M."},{"family":"Fenwick","given":"C."},{"family":"Alberio","given":"L."},{"family":"Waeber","given":"G."},{"family":"Spertini","given":"F."},{"family":"Leval","given":"L.","dropping-particle":"de"},{"family":"Michielin","given":"O."},{"family":"Obeid","given":"M."}],"issued":{"date-parts":[["2020",12,1]]}}}],"schema":"https://github.com/citation-style-language/schema/raw/master/csl-citation.json"} </w:instrText>
            </w:r>
            <w:r w:rsidRPr="00EE47A0">
              <w:rPr>
                <w:rFonts w:cstheme="minorHAnsi"/>
                <w:sz w:val="24"/>
                <w:szCs w:val="24"/>
              </w:rPr>
              <w:fldChar w:fldCharType="separate"/>
            </w:r>
            <w:r w:rsidRPr="00FE4A0A">
              <w:rPr>
                <w:rFonts w:ascii="Calibri" w:hAnsi="Calibri" w:cs="Calibri"/>
                <w:sz w:val="24"/>
                <w:szCs w:val="24"/>
                <w:vertAlign w:val="superscript"/>
              </w:rPr>
              <w:t>35</w:t>
            </w:r>
            <w:r w:rsidRPr="00EE47A0">
              <w:rPr>
                <w:rFonts w:cstheme="minorHAnsi"/>
                <w:sz w:val="24"/>
                <w:szCs w:val="24"/>
              </w:rPr>
              <w:fldChar w:fldCharType="end"/>
            </w:r>
          </w:p>
        </w:tc>
        <w:tc>
          <w:tcPr>
            <w:tcW w:w="180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 xml:space="preserve">Ipilimumab + Nivolumab </w:t>
            </w:r>
          </w:p>
        </w:tc>
        <w:tc>
          <w:tcPr>
            <w:tcW w:w="135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Metastatic melanoma</w:t>
            </w:r>
          </w:p>
        </w:tc>
        <w:tc>
          <w:tcPr>
            <w:tcW w:w="90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42</w:t>
            </w:r>
          </w:p>
        </w:tc>
        <w:tc>
          <w:tcPr>
            <w:tcW w:w="72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Male</w:t>
            </w:r>
          </w:p>
        </w:tc>
        <w:tc>
          <w:tcPr>
            <w:tcW w:w="108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51 days</w:t>
            </w:r>
          </w:p>
        </w:tc>
        <w:tc>
          <w:tcPr>
            <w:tcW w:w="234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High dose corticosteroids with a taper over 30 days</w:t>
            </w:r>
          </w:p>
        </w:tc>
        <w:tc>
          <w:tcPr>
            <w:tcW w:w="153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Resolution of HLH, Complete Response from cancer treatment.</w:t>
            </w:r>
          </w:p>
        </w:tc>
        <w:tc>
          <w:tcPr>
            <w:tcW w:w="144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Pancytopenia, hepatitis</w:t>
            </w:r>
          </w:p>
        </w:tc>
      </w:tr>
      <w:tr w:rsidR="000E4757" w:rsidRPr="00EE47A0" w:rsidTr="00454172">
        <w:trPr>
          <w:trHeight w:val="315"/>
        </w:trPr>
        <w:tc>
          <w:tcPr>
            <w:cnfStyle w:val="001000000000"/>
            <w:tcW w:w="700" w:type="dxa"/>
            <w:vMerge w:val="restart"/>
            <w:hideMark/>
          </w:tcPr>
          <w:p w:rsidR="000E4757" w:rsidRPr="00EE47A0" w:rsidRDefault="000E4757" w:rsidP="00454172">
            <w:pPr>
              <w:spacing w:line="480" w:lineRule="auto"/>
              <w:rPr>
                <w:rFonts w:cstheme="minorHAnsi"/>
                <w:sz w:val="24"/>
                <w:szCs w:val="24"/>
              </w:rPr>
            </w:pPr>
          </w:p>
        </w:tc>
        <w:tc>
          <w:tcPr>
            <w:tcW w:w="1478" w:type="dxa"/>
            <w:vMerge/>
            <w:hideMark/>
          </w:tcPr>
          <w:p w:rsidR="000E4757" w:rsidRPr="00EE47A0" w:rsidRDefault="000E4757" w:rsidP="00454172">
            <w:pPr>
              <w:spacing w:line="480" w:lineRule="auto"/>
              <w:cnfStyle w:val="000000000000"/>
              <w:rPr>
                <w:rFonts w:cstheme="minorHAnsi"/>
                <w:sz w:val="24"/>
                <w:szCs w:val="24"/>
              </w:rPr>
            </w:pPr>
          </w:p>
        </w:tc>
        <w:tc>
          <w:tcPr>
            <w:tcW w:w="180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Nivolumab</w:t>
            </w:r>
          </w:p>
        </w:tc>
        <w:tc>
          <w:tcPr>
            <w:tcW w:w="135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Metastatic melanoma</w:t>
            </w:r>
          </w:p>
        </w:tc>
        <w:tc>
          <w:tcPr>
            <w:tcW w:w="90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36</w:t>
            </w:r>
          </w:p>
        </w:tc>
        <w:tc>
          <w:tcPr>
            <w:tcW w:w="72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Male</w:t>
            </w:r>
          </w:p>
        </w:tc>
        <w:tc>
          <w:tcPr>
            <w:tcW w:w="108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78 days</w:t>
            </w:r>
          </w:p>
        </w:tc>
        <w:tc>
          <w:tcPr>
            <w:tcW w:w="234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High dose corticosteroids with a taper over 21 days</w:t>
            </w:r>
          </w:p>
        </w:tc>
        <w:tc>
          <w:tcPr>
            <w:tcW w:w="153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Resolution of HLH, Partial Response from cancer treatment.</w:t>
            </w:r>
          </w:p>
        </w:tc>
        <w:tc>
          <w:tcPr>
            <w:tcW w:w="144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Pancytopenia, hepatitis</w:t>
            </w:r>
          </w:p>
        </w:tc>
      </w:tr>
      <w:tr w:rsidR="000E4757" w:rsidRPr="00EE47A0" w:rsidTr="00454172">
        <w:trPr>
          <w:cnfStyle w:val="000000100000"/>
          <w:trHeight w:val="315"/>
        </w:trPr>
        <w:tc>
          <w:tcPr>
            <w:cnfStyle w:val="001000000000"/>
            <w:tcW w:w="700" w:type="dxa"/>
            <w:vMerge/>
            <w:hideMark/>
          </w:tcPr>
          <w:p w:rsidR="000E4757" w:rsidRPr="00EE47A0" w:rsidRDefault="000E4757" w:rsidP="00454172">
            <w:pPr>
              <w:spacing w:line="480" w:lineRule="auto"/>
              <w:rPr>
                <w:rFonts w:cstheme="minorHAnsi"/>
                <w:sz w:val="24"/>
                <w:szCs w:val="24"/>
              </w:rPr>
            </w:pPr>
          </w:p>
        </w:tc>
        <w:tc>
          <w:tcPr>
            <w:tcW w:w="1478" w:type="dxa"/>
            <w:vMerge/>
            <w:hideMark/>
          </w:tcPr>
          <w:p w:rsidR="000E4757" w:rsidRPr="00EE47A0" w:rsidRDefault="000E4757" w:rsidP="00454172">
            <w:pPr>
              <w:spacing w:line="480" w:lineRule="auto"/>
              <w:cnfStyle w:val="000000100000"/>
              <w:rPr>
                <w:rFonts w:cstheme="minorHAnsi"/>
                <w:sz w:val="24"/>
                <w:szCs w:val="24"/>
              </w:rPr>
            </w:pPr>
          </w:p>
        </w:tc>
        <w:tc>
          <w:tcPr>
            <w:tcW w:w="180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Ipilimumab +Nivolumab</w:t>
            </w:r>
          </w:p>
        </w:tc>
        <w:tc>
          <w:tcPr>
            <w:tcW w:w="135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Metastatic melanoma</w:t>
            </w:r>
          </w:p>
        </w:tc>
        <w:tc>
          <w:tcPr>
            <w:tcW w:w="90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32</w:t>
            </w:r>
          </w:p>
        </w:tc>
        <w:tc>
          <w:tcPr>
            <w:tcW w:w="72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Male</w:t>
            </w:r>
          </w:p>
        </w:tc>
        <w:tc>
          <w:tcPr>
            <w:tcW w:w="108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91 days</w:t>
            </w:r>
          </w:p>
        </w:tc>
        <w:tc>
          <w:tcPr>
            <w:tcW w:w="234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High dose corticosteroids with a taper over 21 days</w:t>
            </w:r>
          </w:p>
        </w:tc>
        <w:tc>
          <w:tcPr>
            <w:tcW w:w="153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Resolution of HLH, Partial Response from cancer treatment.</w:t>
            </w:r>
          </w:p>
        </w:tc>
        <w:tc>
          <w:tcPr>
            <w:tcW w:w="144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Pancytopenia, hepatitis</w:t>
            </w:r>
          </w:p>
        </w:tc>
      </w:tr>
      <w:tr w:rsidR="000E4757" w:rsidRPr="00EE47A0" w:rsidTr="00454172">
        <w:trPr>
          <w:trHeight w:val="315"/>
        </w:trPr>
        <w:tc>
          <w:tcPr>
            <w:cnfStyle w:val="001000000000"/>
            <w:tcW w:w="700" w:type="dxa"/>
            <w:hideMark/>
          </w:tcPr>
          <w:p w:rsidR="000E4757" w:rsidRPr="00EE47A0" w:rsidRDefault="000E4757" w:rsidP="00454172">
            <w:pPr>
              <w:spacing w:line="480" w:lineRule="auto"/>
              <w:rPr>
                <w:rFonts w:cstheme="minorHAnsi"/>
                <w:sz w:val="24"/>
                <w:szCs w:val="24"/>
              </w:rPr>
            </w:pPr>
            <w:r w:rsidRPr="00EE47A0">
              <w:rPr>
                <w:rFonts w:cstheme="minorHAnsi"/>
                <w:sz w:val="24"/>
                <w:szCs w:val="24"/>
              </w:rPr>
              <w:t>12</w:t>
            </w:r>
          </w:p>
        </w:tc>
        <w:tc>
          <w:tcPr>
            <w:tcW w:w="1478"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Chin, 2019</w:t>
            </w:r>
            <w:r w:rsidRPr="00EE47A0">
              <w:rPr>
                <w:rFonts w:cstheme="minorHAnsi"/>
                <w:sz w:val="24"/>
                <w:szCs w:val="24"/>
              </w:rPr>
              <w:fldChar w:fldCharType="begin"/>
            </w:r>
            <w:r>
              <w:rPr>
                <w:rFonts w:cstheme="minorHAnsi"/>
                <w:sz w:val="24"/>
                <w:szCs w:val="24"/>
              </w:rPr>
              <w:instrText xml:space="preserve"> ADDIN ZOTERO_ITEM CSL_CITATION {"citationID":"0iq35z8o","properties":{"formattedCitation":"\\super 14\\nosupersub{}","plainCitation":"14","noteIndex":0},"citationItems":[{"id":394,"uris":["http://zotero.org/users/7954636/items/22HETD7W"],"uri":["http://zotero.org/users/7954636/items/22HETD7W"],"itemData":{"id":394,"type":"article-journal","abstract":"To the Editor,","container-title":"European Journal of Cancer","DOI":"10.1016/j.ejca.2019.04.026","ISSN":"0959-8049, 1879-0852","journalAbbreviation":"European Journal of Cancer","language":"English","note":"publisher: Elsevier\nPMID: 31129384","page":"84-87","source":"www.ejcancer.com","title":"Secondary haemophagocytic lymphohistiocytosis due to checkpoint inhibitor therapy","volume":"115","author":[{"family":"Chin","given":"Collin K."},{"family":"Hall","given":"Sara"},{"family":"Green","given":"Celia"},{"family":"Hazel","given":"Guy Van"},{"family":"Spagnolo","given":"Dominic"},{"family":"Cheah","given":"Chan Yoon"}],"issued":{"date-parts":[["2019",7,1]]}}}],"schema":"https://github.com/citation-style-language/schema/raw/master/csl-citation.json"} </w:instrText>
            </w:r>
            <w:r w:rsidRPr="00EE47A0">
              <w:rPr>
                <w:rFonts w:cstheme="minorHAnsi"/>
                <w:sz w:val="24"/>
                <w:szCs w:val="24"/>
              </w:rPr>
              <w:fldChar w:fldCharType="separate"/>
            </w:r>
            <w:r w:rsidRPr="00FE4A0A">
              <w:rPr>
                <w:rFonts w:ascii="Calibri" w:hAnsi="Calibri" w:cs="Calibri"/>
                <w:sz w:val="24"/>
                <w:szCs w:val="24"/>
                <w:vertAlign w:val="superscript"/>
              </w:rPr>
              <w:t>14</w:t>
            </w:r>
            <w:r w:rsidRPr="00EE47A0">
              <w:rPr>
                <w:rFonts w:cstheme="minorHAnsi"/>
                <w:sz w:val="24"/>
                <w:szCs w:val="24"/>
              </w:rPr>
              <w:fldChar w:fldCharType="end"/>
            </w:r>
          </w:p>
        </w:tc>
        <w:tc>
          <w:tcPr>
            <w:tcW w:w="180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Ipilimumab and Nivolumab</w:t>
            </w:r>
          </w:p>
        </w:tc>
        <w:tc>
          <w:tcPr>
            <w:tcW w:w="135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Metastatic melanoma</w:t>
            </w:r>
          </w:p>
        </w:tc>
        <w:tc>
          <w:tcPr>
            <w:tcW w:w="90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69</w:t>
            </w:r>
          </w:p>
        </w:tc>
        <w:tc>
          <w:tcPr>
            <w:tcW w:w="72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Female</w:t>
            </w:r>
          </w:p>
        </w:tc>
        <w:tc>
          <w:tcPr>
            <w:tcW w:w="108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after 4 cycles</w:t>
            </w:r>
          </w:p>
        </w:tc>
        <w:tc>
          <w:tcPr>
            <w:tcW w:w="234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IV methylprednisolone three days (1500 mg daily), followed by</w:t>
            </w:r>
            <w:r w:rsidRPr="00EE47A0">
              <w:rPr>
                <w:rFonts w:cstheme="minorHAnsi"/>
                <w:sz w:val="24"/>
                <w:szCs w:val="24"/>
              </w:rPr>
              <w:br/>
              <w:t xml:space="preserve">oral prednisolone 1 mg/kg/day tapered over two months. </w:t>
            </w:r>
          </w:p>
        </w:tc>
        <w:tc>
          <w:tcPr>
            <w:tcW w:w="153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Over six weeks, normalization of ferritin, fibrinogen and cytopenia.</w:t>
            </w:r>
          </w:p>
        </w:tc>
        <w:tc>
          <w:tcPr>
            <w:tcW w:w="144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None</w:t>
            </w:r>
          </w:p>
        </w:tc>
      </w:tr>
      <w:tr w:rsidR="000E4757" w:rsidRPr="00EE47A0" w:rsidTr="00454172">
        <w:trPr>
          <w:cnfStyle w:val="000000100000"/>
          <w:trHeight w:val="315"/>
        </w:trPr>
        <w:tc>
          <w:tcPr>
            <w:cnfStyle w:val="001000000000"/>
            <w:tcW w:w="700" w:type="dxa"/>
            <w:hideMark/>
          </w:tcPr>
          <w:p w:rsidR="000E4757" w:rsidRPr="00EE47A0" w:rsidRDefault="000E4757" w:rsidP="00454172">
            <w:pPr>
              <w:spacing w:line="480" w:lineRule="auto"/>
              <w:rPr>
                <w:rFonts w:cstheme="minorHAnsi"/>
                <w:sz w:val="24"/>
                <w:szCs w:val="24"/>
              </w:rPr>
            </w:pPr>
            <w:r w:rsidRPr="00EE47A0">
              <w:rPr>
                <w:rFonts w:cstheme="minorHAnsi"/>
                <w:sz w:val="24"/>
                <w:szCs w:val="24"/>
              </w:rPr>
              <w:t>13</w:t>
            </w:r>
          </w:p>
        </w:tc>
        <w:tc>
          <w:tcPr>
            <w:tcW w:w="1478"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Al-Samkari, 2018</w:t>
            </w:r>
            <w:r w:rsidRPr="00EE47A0">
              <w:rPr>
                <w:rFonts w:cstheme="minorHAnsi"/>
                <w:sz w:val="24"/>
                <w:szCs w:val="24"/>
              </w:rPr>
              <w:fldChar w:fldCharType="begin"/>
            </w:r>
            <w:r>
              <w:rPr>
                <w:rFonts w:cstheme="minorHAnsi"/>
                <w:sz w:val="24"/>
                <w:szCs w:val="24"/>
              </w:rPr>
              <w:instrText xml:space="preserve"> ADDIN ZOTERO_ITEM CSL_CITATION {"citationID":"5mqB1VuJ","properties":{"formattedCitation":"\\super 36\\nosupersub{}","plainCitation":"36","noteIndex":0},"citationItems":[{"id":444,"uris":["http://zotero.org/users/7954636/items/7GGNKZD5"],"uri":["http://zotero.org/users/7954636/items/7GGNKZD5"],"itemData":{"id":444,"type":"article-journal","abstract":"Hemophagocytic lymphohistiocytosis is a life-threatening disorder characterized by unbridled activation of cytotoxic T lymphocytes, natural killer (NK) cells, and macrophages resulting in hypercytokinemia and immune-mediated injury of multiple organ systems. It is seen in both children and adults and is recognized as primary (driven by underlying genetic mutations that abolish critical proteins required for normal function of cytotoxic T cells and NK cells) or secondary (resulting from a malignant, infectious, or autoimmune stimulus without an identifiable underlying genetic trigger). Clinical and laboratory manifestations include fever, splenomegaly, neurologic dysfunction, coagulopathy, liver dysfunction, cytopenias, hypertriglyceridemia, hyperferritinemia, hemophagocytosis, and diminished NK cell activity. It is treated with immune suppressants, etoposide, and allogeneic hematopoietic stem cell transplantation; more than 50% of children who undergo transplant survive, but adults have quite poor outcomes even with aggressive management. Newer agents directed at subduing the uncontrolled immune response in a targeted fashion offer promise in this highly morbid disease.","container-title":"Annual Review of Pathology: Mechanisms of Disease","DOI":"10.1146/annurev-pathol-020117-043625","ISSN":"1553-4006","issue":"1","journalAbbreviation":"Annu. Rev. Pathol. Mech. Dis.","note":"publisher: Annual Reviews","page":"27-49","source":"annualreviews.org (Atypon)","title":"Hemophagocytic Lymphohistiocytosis","volume":"13","author":[{"family":"Al-Samkari","given":"Hanny"},{"family":"Berliner","given":"Nancy"}],"issued":{"date-parts":[["2018",1,24]]}}}],"schema":"https://github.com/citation-style-language/schema/raw/master/csl-citation.json"} </w:instrText>
            </w:r>
            <w:r w:rsidRPr="00EE47A0">
              <w:rPr>
                <w:rFonts w:cstheme="minorHAnsi"/>
                <w:sz w:val="24"/>
                <w:szCs w:val="24"/>
              </w:rPr>
              <w:fldChar w:fldCharType="separate"/>
            </w:r>
            <w:r w:rsidRPr="00FE4A0A">
              <w:rPr>
                <w:rFonts w:ascii="Calibri" w:hAnsi="Calibri" w:cs="Calibri"/>
                <w:sz w:val="24"/>
                <w:szCs w:val="24"/>
                <w:vertAlign w:val="superscript"/>
              </w:rPr>
              <w:t>36</w:t>
            </w:r>
            <w:r w:rsidRPr="00EE47A0">
              <w:rPr>
                <w:rFonts w:cstheme="minorHAnsi"/>
                <w:sz w:val="24"/>
                <w:szCs w:val="24"/>
              </w:rPr>
              <w:fldChar w:fldCharType="end"/>
            </w:r>
          </w:p>
        </w:tc>
        <w:tc>
          <w:tcPr>
            <w:tcW w:w="180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Pembrolizumab</w:t>
            </w:r>
          </w:p>
        </w:tc>
        <w:tc>
          <w:tcPr>
            <w:tcW w:w="135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 xml:space="preserve">Metastatic breast </w:t>
            </w:r>
            <w:r w:rsidRPr="00EE47A0">
              <w:rPr>
                <w:rFonts w:cstheme="minorHAnsi"/>
                <w:sz w:val="24"/>
                <w:szCs w:val="24"/>
              </w:rPr>
              <w:lastRenderedPageBreak/>
              <w:t>cancer</w:t>
            </w:r>
          </w:p>
        </w:tc>
        <w:tc>
          <w:tcPr>
            <w:tcW w:w="90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lastRenderedPageBreak/>
              <w:t>58</w:t>
            </w:r>
          </w:p>
        </w:tc>
        <w:tc>
          <w:tcPr>
            <w:tcW w:w="72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Female</w:t>
            </w:r>
          </w:p>
        </w:tc>
        <w:tc>
          <w:tcPr>
            <w:tcW w:w="108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NA</w:t>
            </w:r>
          </w:p>
        </w:tc>
        <w:tc>
          <w:tcPr>
            <w:tcW w:w="234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 xml:space="preserve">A high-dose methylprednisolone </w:t>
            </w:r>
            <w:r w:rsidRPr="00EE47A0">
              <w:rPr>
                <w:rFonts w:cstheme="minorHAnsi"/>
                <w:sz w:val="24"/>
                <w:szCs w:val="24"/>
              </w:rPr>
              <w:lastRenderedPageBreak/>
              <w:t xml:space="preserve">taper (initial dose 1 g, with </w:t>
            </w:r>
            <w:r w:rsidRPr="00EE47A0">
              <w:rPr>
                <w:rFonts w:cstheme="minorHAnsi"/>
                <w:sz w:val="24"/>
                <w:szCs w:val="24"/>
              </w:rPr>
              <w:br/>
            </w:r>
            <w:r w:rsidRPr="00EE47A0">
              <w:rPr>
                <w:rFonts w:cstheme="minorHAnsi"/>
                <w:sz w:val="24"/>
                <w:szCs w:val="24"/>
              </w:rPr>
              <w:br/>
              <w:t>slow taper over a few weeks)</w:t>
            </w:r>
          </w:p>
        </w:tc>
        <w:tc>
          <w:tcPr>
            <w:tcW w:w="153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lastRenderedPageBreak/>
              <w:t xml:space="preserve">Resolution of HLH. </w:t>
            </w:r>
          </w:p>
        </w:tc>
        <w:tc>
          <w:tcPr>
            <w:tcW w:w="144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Hypophysitis</w:t>
            </w:r>
          </w:p>
        </w:tc>
      </w:tr>
      <w:tr w:rsidR="000E4757" w:rsidRPr="00EE47A0" w:rsidTr="00454172">
        <w:trPr>
          <w:trHeight w:val="315"/>
        </w:trPr>
        <w:tc>
          <w:tcPr>
            <w:cnfStyle w:val="001000000000"/>
            <w:tcW w:w="700" w:type="dxa"/>
            <w:vMerge w:val="restart"/>
            <w:hideMark/>
          </w:tcPr>
          <w:p w:rsidR="000E4757" w:rsidRPr="00EE47A0" w:rsidRDefault="000E4757" w:rsidP="00454172">
            <w:pPr>
              <w:spacing w:line="480" w:lineRule="auto"/>
              <w:rPr>
                <w:rFonts w:cstheme="minorHAnsi"/>
                <w:sz w:val="24"/>
                <w:szCs w:val="24"/>
              </w:rPr>
            </w:pPr>
            <w:r w:rsidRPr="00EE47A0">
              <w:rPr>
                <w:rFonts w:cstheme="minorHAnsi"/>
                <w:sz w:val="24"/>
                <w:szCs w:val="24"/>
              </w:rPr>
              <w:lastRenderedPageBreak/>
              <w:t>14</w:t>
            </w:r>
          </w:p>
        </w:tc>
        <w:tc>
          <w:tcPr>
            <w:tcW w:w="1478" w:type="dxa"/>
            <w:vMerge w:val="restart"/>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Dupre, 2020</w:t>
            </w:r>
            <w:r w:rsidRPr="00EE47A0">
              <w:rPr>
                <w:rFonts w:cstheme="minorHAnsi"/>
                <w:sz w:val="24"/>
                <w:szCs w:val="24"/>
              </w:rPr>
              <w:fldChar w:fldCharType="begin"/>
            </w:r>
            <w:r>
              <w:rPr>
                <w:rFonts w:cstheme="minorHAnsi"/>
                <w:sz w:val="24"/>
                <w:szCs w:val="24"/>
              </w:rPr>
              <w:instrText xml:space="preserve"> ADDIN ZOTERO_ITEM CSL_CITATION {"citationID":"ODxAr61K","properties":{"formattedCitation":"\\super 37\\nosupersub{}","plainCitation":"37","noteIndex":0},"citationItems":[{"id":446,"uris":["http://zotero.org/users/7954636/items/E9GVP5FE"],"uri":["http://zotero.org/users/7954636/items/E9GVP5FE"],"itemData":{"id":446,"type":"webpage","title":"Haemophagocytic lymphohistiocytosis associated with immune checkpoint inhibitors: a descriptive case study and literature review - Dupré - 2020 - British Journal of Haematology - Wiley Online Library","URL":"https://onlinelibrary.wiley.com/doi/full/10.1111/bjh.16630","accessed":{"date-parts":[["2021",7,6]]}}}],"schema":"https://github.com/citation-style-language/schema/raw/master/csl-citation.json"} </w:instrText>
            </w:r>
            <w:r w:rsidRPr="00EE47A0">
              <w:rPr>
                <w:rFonts w:cstheme="minorHAnsi"/>
                <w:sz w:val="24"/>
                <w:szCs w:val="24"/>
              </w:rPr>
              <w:fldChar w:fldCharType="separate"/>
            </w:r>
            <w:r w:rsidRPr="00FE4A0A">
              <w:rPr>
                <w:rFonts w:ascii="Calibri" w:hAnsi="Calibri" w:cs="Calibri"/>
                <w:sz w:val="24"/>
                <w:szCs w:val="24"/>
                <w:vertAlign w:val="superscript"/>
              </w:rPr>
              <w:t>37</w:t>
            </w:r>
            <w:r w:rsidRPr="00EE47A0">
              <w:rPr>
                <w:rFonts w:cstheme="minorHAnsi"/>
                <w:sz w:val="24"/>
                <w:szCs w:val="24"/>
              </w:rPr>
              <w:fldChar w:fldCharType="end"/>
            </w:r>
          </w:p>
        </w:tc>
        <w:tc>
          <w:tcPr>
            <w:tcW w:w="180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Pembrolizumab</w:t>
            </w:r>
          </w:p>
        </w:tc>
        <w:tc>
          <w:tcPr>
            <w:tcW w:w="135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Pulmonary sarcomatoid carcinoma</w:t>
            </w:r>
          </w:p>
        </w:tc>
        <w:tc>
          <w:tcPr>
            <w:tcW w:w="90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58</w:t>
            </w:r>
          </w:p>
        </w:tc>
        <w:tc>
          <w:tcPr>
            <w:tcW w:w="72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Male</w:t>
            </w:r>
          </w:p>
        </w:tc>
        <w:tc>
          <w:tcPr>
            <w:tcW w:w="108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1 week</w:t>
            </w:r>
          </w:p>
        </w:tc>
        <w:tc>
          <w:tcPr>
            <w:tcW w:w="234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Prednisone</w:t>
            </w:r>
          </w:p>
        </w:tc>
        <w:tc>
          <w:tcPr>
            <w:tcW w:w="153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Partial control of HLH, death from cancer progression</w:t>
            </w:r>
          </w:p>
        </w:tc>
        <w:tc>
          <w:tcPr>
            <w:tcW w:w="144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None</w:t>
            </w:r>
          </w:p>
        </w:tc>
      </w:tr>
      <w:tr w:rsidR="000E4757" w:rsidRPr="00EE47A0" w:rsidTr="00454172">
        <w:trPr>
          <w:cnfStyle w:val="000000100000"/>
          <w:trHeight w:val="315"/>
        </w:trPr>
        <w:tc>
          <w:tcPr>
            <w:cnfStyle w:val="001000000000"/>
            <w:tcW w:w="700" w:type="dxa"/>
            <w:vMerge/>
            <w:hideMark/>
          </w:tcPr>
          <w:p w:rsidR="000E4757" w:rsidRPr="00EE47A0" w:rsidRDefault="000E4757" w:rsidP="00454172">
            <w:pPr>
              <w:spacing w:line="480" w:lineRule="auto"/>
              <w:rPr>
                <w:rFonts w:cstheme="minorHAnsi"/>
                <w:sz w:val="24"/>
                <w:szCs w:val="24"/>
              </w:rPr>
            </w:pPr>
          </w:p>
        </w:tc>
        <w:tc>
          <w:tcPr>
            <w:tcW w:w="1478" w:type="dxa"/>
            <w:vMerge/>
            <w:hideMark/>
          </w:tcPr>
          <w:p w:rsidR="000E4757" w:rsidRPr="00EE47A0" w:rsidRDefault="000E4757" w:rsidP="00454172">
            <w:pPr>
              <w:spacing w:line="480" w:lineRule="auto"/>
              <w:cnfStyle w:val="000000100000"/>
              <w:rPr>
                <w:rFonts w:cstheme="minorHAnsi"/>
                <w:sz w:val="24"/>
                <w:szCs w:val="24"/>
              </w:rPr>
            </w:pPr>
          </w:p>
        </w:tc>
        <w:tc>
          <w:tcPr>
            <w:tcW w:w="180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Nivolumab + Ipilimumab</w:t>
            </w:r>
          </w:p>
        </w:tc>
        <w:tc>
          <w:tcPr>
            <w:tcW w:w="135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Metastatic melanoma</w:t>
            </w:r>
          </w:p>
        </w:tc>
        <w:tc>
          <w:tcPr>
            <w:tcW w:w="90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54</w:t>
            </w:r>
          </w:p>
        </w:tc>
        <w:tc>
          <w:tcPr>
            <w:tcW w:w="72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Female</w:t>
            </w:r>
          </w:p>
        </w:tc>
        <w:tc>
          <w:tcPr>
            <w:tcW w:w="108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3 weeks</w:t>
            </w:r>
          </w:p>
        </w:tc>
        <w:tc>
          <w:tcPr>
            <w:tcW w:w="234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 xml:space="preserve">IV Methylprednisolone 500mg followed by oral prednisone, </w:t>
            </w:r>
            <w:r w:rsidRPr="00EE47A0">
              <w:rPr>
                <w:rFonts w:cstheme="minorHAnsi"/>
                <w:sz w:val="24"/>
                <w:szCs w:val="24"/>
              </w:rPr>
              <w:lastRenderedPageBreak/>
              <w:t>etoposide 10mg/m2, IVIG 1g/kg, Tocilizumab</w:t>
            </w:r>
          </w:p>
        </w:tc>
        <w:tc>
          <w:tcPr>
            <w:tcW w:w="153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lastRenderedPageBreak/>
              <w:t>Partial control of HLH, cancer progression</w:t>
            </w:r>
          </w:p>
        </w:tc>
        <w:tc>
          <w:tcPr>
            <w:tcW w:w="144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None</w:t>
            </w:r>
          </w:p>
        </w:tc>
      </w:tr>
      <w:tr w:rsidR="000E4757" w:rsidRPr="00EE47A0" w:rsidTr="00454172">
        <w:trPr>
          <w:trHeight w:val="315"/>
        </w:trPr>
        <w:tc>
          <w:tcPr>
            <w:cnfStyle w:val="001000000000"/>
            <w:tcW w:w="700" w:type="dxa"/>
            <w:vMerge w:val="restart"/>
            <w:hideMark/>
          </w:tcPr>
          <w:p w:rsidR="000E4757" w:rsidRPr="00EE47A0" w:rsidRDefault="000E4757" w:rsidP="00454172">
            <w:pPr>
              <w:spacing w:line="480" w:lineRule="auto"/>
              <w:rPr>
                <w:rFonts w:cstheme="minorHAnsi"/>
                <w:sz w:val="24"/>
                <w:szCs w:val="24"/>
              </w:rPr>
            </w:pPr>
          </w:p>
        </w:tc>
        <w:tc>
          <w:tcPr>
            <w:tcW w:w="1478" w:type="dxa"/>
            <w:vMerge w:val="restart"/>
            <w:hideMark/>
          </w:tcPr>
          <w:p w:rsidR="000E4757" w:rsidRPr="00EE47A0" w:rsidRDefault="000E4757" w:rsidP="00454172">
            <w:pPr>
              <w:spacing w:line="480" w:lineRule="auto"/>
              <w:cnfStyle w:val="000000000000"/>
              <w:rPr>
                <w:rFonts w:cstheme="minorHAnsi"/>
                <w:sz w:val="24"/>
                <w:szCs w:val="24"/>
              </w:rPr>
            </w:pPr>
          </w:p>
        </w:tc>
        <w:tc>
          <w:tcPr>
            <w:tcW w:w="180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Pembrolizumab</w:t>
            </w:r>
          </w:p>
        </w:tc>
        <w:tc>
          <w:tcPr>
            <w:tcW w:w="135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Metastatic melanoma</w:t>
            </w:r>
          </w:p>
        </w:tc>
        <w:tc>
          <w:tcPr>
            <w:tcW w:w="90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35</w:t>
            </w:r>
          </w:p>
        </w:tc>
        <w:tc>
          <w:tcPr>
            <w:tcW w:w="72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Female</w:t>
            </w:r>
          </w:p>
        </w:tc>
        <w:tc>
          <w:tcPr>
            <w:tcW w:w="108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28 days after Ipilimumab</w:t>
            </w:r>
          </w:p>
        </w:tc>
        <w:tc>
          <w:tcPr>
            <w:tcW w:w="234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Prednisone 1mg/kg/day, Etoposide 150mg/m2 intravenous</w:t>
            </w:r>
          </w:p>
        </w:tc>
        <w:tc>
          <w:tcPr>
            <w:tcW w:w="153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Death from HLH with intracerebral hemorrhage</w:t>
            </w:r>
          </w:p>
        </w:tc>
        <w:tc>
          <w:tcPr>
            <w:tcW w:w="144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Hepatitis</w:t>
            </w:r>
          </w:p>
        </w:tc>
      </w:tr>
      <w:tr w:rsidR="000E4757" w:rsidRPr="00EE47A0" w:rsidTr="00454172">
        <w:trPr>
          <w:cnfStyle w:val="000000100000"/>
          <w:trHeight w:val="315"/>
        </w:trPr>
        <w:tc>
          <w:tcPr>
            <w:cnfStyle w:val="001000000000"/>
            <w:tcW w:w="700" w:type="dxa"/>
            <w:vMerge/>
            <w:hideMark/>
          </w:tcPr>
          <w:p w:rsidR="000E4757" w:rsidRPr="00EE47A0" w:rsidRDefault="000E4757" w:rsidP="00454172">
            <w:pPr>
              <w:spacing w:line="480" w:lineRule="auto"/>
              <w:rPr>
                <w:rFonts w:cstheme="minorHAnsi"/>
                <w:sz w:val="24"/>
                <w:szCs w:val="24"/>
              </w:rPr>
            </w:pPr>
          </w:p>
        </w:tc>
        <w:tc>
          <w:tcPr>
            <w:tcW w:w="1478" w:type="dxa"/>
            <w:vMerge/>
            <w:hideMark/>
          </w:tcPr>
          <w:p w:rsidR="000E4757" w:rsidRPr="00EE47A0" w:rsidRDefault="000E4757" w:rsidP="00454172">
            <w:pPr>
              <w:spacing w:line="480" w:lineRule="auto"/>
              <w:cnfStyle w:val="000000100000"/>
              <w:rPr>
                <w:rFonts w:cstheme="minorHAnsi"/>
                <w:sz w:val="24"/>
                <w:szCs w:val="24"/>
              </w:rPr>
            </w:pPr>
          </w:p>
        </w:tc>
        <w:tc>
          <w:tcPr>
            <w:tcW w:w="180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Nivolumab + Ipilimumab</w:t>
            </w:r>
          </w:p>
        </w:tc>
        <w:tc>
          <w:tcPr>
            <w:tcW w:w="135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Metastatic melanoma</w:t>
            </w:r>
          </w:p>
        </w:tc>
        <w:tc>
          <w:tcPr>
            <w:tcW w:w="90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52</w:t>
            </w:r>
          </w:p>
        </w:tc>
        <w:tc>
          <w:tcPr>
            <w:tcW w:w="72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Male</w:t>
            </w:r>
          </w:p>
        </w:tc>
        <w:tc>
          <w:tcPr>
            <w:tcW w:w="108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5 weeks after Ipilimumab</w:t>
            </w:r>
          </w:p>
        </w:tc>
        <w:tc>
          <w:tcPr>
            <w:tcW w:w="234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Corticosteroids 1mg/kg/day</w:t>
            </w:r>
          </w:p>
        </w:tc>
        <w:tc>
          <w:tcPr>
            <w:tcW w:w="153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 xml:space="preserve">Resolution of HLH, rechallenged with ICI with no recurrence of HLH  </w:t>
            </w:r>
          </w:p>
        </w:tc>
        <w:tc>
          <w:tcPr>
            <w:tcW w:w="144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Hepatic cytolysis and lymphocytic meningitis</w:t>
            </w:r>
          </w:p>
        </w:tc>
      </w:tr>
      <w:tr w:rsidR="000E4757" w:rsidRPr="00EE47A0" w:rsidTr="00454172">
        <w:trPr>
          <w:trHeight w:val="315"/>
        </w:trPr>
        <w:tc>
          <w:tcPr>
            <w:cnfStyle w:val="001000000000"/>
            <w:tcW w:w="700" w:type="dxa"/>
            <w:vMerge/>
            <w:hideMark/>
          </w:tcPr>
          <w:p w:rsidR="000E4757" w:rsidRPr="00EE47A0" w:rsidRDefault="000E4757" w:rsidP="00454172">
            <w:pPr>
              <w:spacing w:line="480" w:lineRule="auto"/>
              <w:rPr>
                <w:rFonts w:cstheme="minorHAnsi"/>
                <w:sz w:val="24"/>
                <w:szCs w:val="24"/>
              </w:rPr>
            </w:pPr>
          </w:p>
        </w:tc>
        <w:tc>
          <w:tcPr>
            <w:tcW w:w="1478" w:type="dxa"/>
            <w:vMerge/>
            <w:hideMark/>
          </w:tcPr>
          <w:p w:rsidR="000E4757" w:rsidRPr="00EE47A0" w:rsidRDefault="000E4757" w:rsidP="00454172">
            <w:pPr>
              <w:spacing w:line="480" w:lineRule="auto"/>
              <w:cnfStyle w:val="000000000000"/>
              <w:rPr>
                <w:rFonts w:cstheme="minorHAnsi"/>
                <w:sz w:val="24"/>
                <w:szCs w:val="24"/>
              </w:rPr>
            </w:pPr>
          </w:p>
        </w:tc>
        <w:tc>
          <w:tcPr>
            <w:tcW w:w="180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Pembrolizumab</w:t>
            </w:r>
          </w:p>
        </w:tc>
        <w:tc>
          <w:tcPr>
            <w:tcW w:w="135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Metastatic melanoma</w:t>
            </w:r>
          </w:p>
        </w:tc>
        <w:tc>
          <w:tcPr>
            <w:tcW w:w="90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69</w:t>
            </w:r>
          </w:p>
        </w:tc>
        <w:tc>
          <w:tcPr>
            <w:tcW w:w="72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Male</w:t>
            </w:r>
          </w:p>
        </w:tc>
        <w:tc>
          <w:tcPr>
            <w:tcW w:w="108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 xml:space="preserve">4 weeks </w:t>
            </w:r>
          </w:p>
        </w:tc>
        <w:tc>
          <w:tcPr>
            <w:tcW w:w="234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Methylprednisolone 100mg/ day</w:t>
            </w:r>
          </w:p>
        </w:tc>
        <w:tc>
          <w:tcPr>
            <w:tcW w:w="153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Resolution of HLH, not rechallenged with ICI, cancer response not documented</w:t>
            </w:r>
          </w:p>
        </w:tc>
        <w:tc>
          <w:tcPr>
            <w:tcW w:w="144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Hypophysitis, lymphocytic meningitis, hepatic cytolysis</w:t>
            </w:r>
          </w:p>
        </w:tc>
      </w:tr>
      <w:tr w:rsidR="000E4757" w:rsidRPr="00EE47A0" w:rsidTr="00454172">
        <w:trPr>
          <w:cnfStyle w:val="000000100000"/>
          <w:trHeight w:val="315"/>
        </w:trPr>
        <w:tc>
          <w:tcPr>
            <w:cnfStyle w:val="001000000000"/>
            <w:tcW w:w="700" w:type="dxa"/>
            <w:hideMark/>
          </w:tcPr>
          <w:p w:rsidR="000E4757" w:rsidRPr="00EE47A0" w:rsidRDefault="000E4757" w:rsidP="00454172">
            <w:pPr>
              <w:spacing w:line="480" w:lineRule="auto"/>
              <w:rPr>
                <w:rFonts w:cstheme="minorHAnsi"/>
                <w:sz w:val="24"/>
                <w:szCs w:val="24"/>
              </w:rPr>
            </w:pPr>
            <w:r w:rsidRPr="00EE47A0">
              <w:rPr>
                <w:rFonts w:cstheme="minorHAnsi"/>
                <w:sz w:val="24"/>
                <w:szCs w:val="24"/>
              </w:rPr>
              <w:t>15</w:t>
            </w:r>
          </w:p>
        </w:tc>
        <w:tc>
          <w:tcPr>
            <w:tcW w:w="1478"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Satzger, 2018</w:t>
            </w:r>
            <w:r w:rsidRPr="00EE47A0">
              <w:rPr>
                <w:rFonts w:cstheme="minorHAnsi"/>
                <w:sz w:val="24"/>
                <w:szCs w:val="24"/>
              </w:rPr>
              <w:fldChar w:fldCharType="begin"/>
            </w:r>
            <w:r>
              <w:rPr>
                <w:rFonts w:cstheme="minorHAnsi"/>
                <w:sz w:val="24"/>
                <w:szCs w:val="24"/>
              </w:rPr>
              <w:instrText xml:space="preserve"> ADDIN ZOTERO_ITEM CSL_CITATION {"citationID":"Mx7MNsxB","properties":{"formattedCitation":"\\super 38\\nosupersub{}","plainCitation":"38","noteIndex":0},"citationItems":[{"id":448,"uris":["http://zotero.org/users/7954636/items/RLZ4F5E5"],"uri":["http://zotero.org/users/7954636/items/RLZ4F5E5"],"itemData":{"id":448,"type":"article-journal","abstract":"Checkpoint inhibition (CPI) with anti-PD-1/PD-L1 and anti-CTLA-4 antibodies became\na standard therapy in a variety of tumour entities. In particular, in malignant melanoma,\nCPI revolutionised the therapy within a few years. None the less, interventions in\nthe immune system with these inhibitors regularly cause immune-related adverse events\n(irAE). Common irAEs such as colitis, dermatitis, pneumonitis or hepatitis are well\nknown, and recommendations for their diagnosis and management have been outlined [1–4].","container-title":"European Journal of Cancer","DOI":"10.1016/j.ejca.2018.01.063","ISSN":"0959-8049, 1879-0852","journalAbbreviation":"European Journal of Cancer","language":"English","note":"publisher: Elsevier\nPMID: 29472154","page":"150-153","source":"www.ejcancer.com","title":"Treatment-related hemophagocytic lymphohistiocytosis secondary to checkpoint inhibition with nivolumab plus ipilimumab","volume":"93","author":[{"family":"Satzger","given":"Imke"},{"family":"Ivanyi","given":"Philipp"},{"family":"Länger","given":"Florian"},{"family":"Kreipe","given":"Hans-Heinrich"},{"family":"Schaper-Gerhardt","given":"Katrin"},{"family":"Beutel","given":"Gernot"},{"family":"Cornberg","given":"Markus"},{"family":"Gutzmer","given":"Ralf"}],"issued":{"date-parts":[["2018",4,1]]}}}],"schema":"https://github.com/citation-style-language/schema/raw/master/csl-citation.json"} </w:instrText>
            </w:r>
            <w:r w:rsidRPr="00EE47A0">
              <w:rPr>
                <w:rFonts w:cstheme="minorHAnsi"/>
                <w:sz w:val="24"/>
                <w:szCs w:val="24"/>
              </w:rPr>
              <w:fldChar w:fldCharType="separate"/>
            </w:r>
            <w:r w:rsidRPr="00FE4A0A">
              <w:rPr>
                <w:rFonts w:ascii="Calibri" w:hAnsi="Calibri" w:cs="Calibri"/>
                <w:sz w:val="24"/>
                <w:szCs w:val="24"/>
                <w:vertAlign w:val="superscript"/>
              </w:rPr>
              <w:t>38</w:t>
            </w:r>
            <w:r w:rsidRPr="00EE47A0">
              <w:rPr>
                <w:rFonts w:cstheme="minorHAnsi"/>
                <w:sz w:val="24"/>
                <w:szCs w:val="24"/>
              </w:rPr>
              <w:fldChar w:fldCharType="end"/>
            </w:r>
          </w:p>
        </w:tc>
        <w:tc>
          <w:tcPr>
            <w:tcW w:w="180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Nivolumab + Ipilimumab</w:t>
            </w:r>
          </w:p>
        </w:tc>
        <w:tc>
          <w:tcPr>
            <w:tcW w:w="135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Metastatic melanoma</w:t>
            </w:r>
          </w:p>
        </w:tc>
        <w:tc>
          <w:tcPr>
            <w:tcW w:w="90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27</w:t>
            </w:r>
          </w:p>
        </w:tc>
        <w:tc>
          <w:tcPr>
            <w:tcW w:w="72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Female</w:t>
            </w:r>
          </w:p>
        </w:tc>
        <w:tc>
          <w:tcPr>
            <w:tcW w:w="108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5 weeks</w:t>
            </w:r>
          </w:p>
        </w:tc>
        <w:tc>
          <w:tcPr>
            <w:tcW w:w="234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t xml:space="preserve">Prednisone 2mg/kg, later switched to 1.5mg/kg and then tapered, mycophenolate mofetil 360mg twice daily and increased </w:t>
            </w:r>
            <w:r w:rsidRPr="00EE47A0">
              <w:rPr>
                <w:rFonts w:cstheme="minorHAnsi"/>
                <w:sz w:val="24"/>
                <w:szCs w:val="24"/>
              </w:rPr>
              <w:lastRenderedPageBreak/>
              <w:t>to 720mg twice daily</w:t>
            </w:r>
          </w:p>
        </w:tc>
        <w:tc>
          <w:tcPr>
            <w:tcW w:w="153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lastRenderedPageBreak/>
              <w:t xml:space="preserve">ICI was discontinued. Laboratory values normalized; clinical symptoms </w:t>
            </w:r>
            <w:r w:rsidRPr="00EE47A0">
              <w:rPr>
                <w:rFonts w:cstheme="minorHAnsi"/>
                <w:sz w:val="24"/>
                <w:szCs w:val="24"/>
              </w:rPr>
              <w:lastRenderedPageBreak/>
              <w:t>resolved</w:t>
            </w:r>
          </w:p>
        </w:tc>
        <w:tc>
          <w:tcPr>
            <w:tcW w:w="1440" w:type="dxa"/>
            <w:hideMark/>
          </w:tcPr>
          <w:p w:rsidR="000E4757" w:rsidRPr="00EE47A0" w:rsidRDefault="000E4757" w:rsidP="00454172">
            <w:pPr>
              <w:spacing w:line="480" w:lineRule="auto"/>
              <w:cnfStyle w:val="000000100000"/>
              <w:rPr>
                <w:rFonts w:cstheme="minorHAnsi"/>
                <w:sz w:val="24"/>
                <w:szCs w:val="24"/>
              </w:rPr>
            </w:pPr>
            <w:r w:rsidRPr="00EE47A0">
              <w:rPr>
                <w:rFonts w:cstheme="minorHAnsi"/>
                <w:sz w:val="24"/>
                <w:szCs w:val="24"/>
              </w:rPr>
              <w:lastRenderedPageBreak/>
              <w:t>Thyroiditis</w:t>
            </w:r>
          </w:p>
        </w:tc>
      </w:tr>
      <w:tr w:rsidR="000E4757" w:rsidRPr="00EE47A0" w:rsidTr="00454172">
        <w:trPr>
          <w:trHeight w:val="315"/>
        </w:trPr>
        <w:tc>
          <w:tcPr>
            <w:cnfStyle w:val="001000000000"/>
            <w:tcW w:w="700" w:type="dxa"/>
            <w:hideMark/>
          </w:tcPr>
          <w:p w:rsidR="000E4757" w:rsidRPr="00EE47A0" w:rsidRDefault="000E4757" w:rsidP="00454172">
            <w:pPr>
              <w:spacing w:line="480" w:lineRule="auto"/>
              <w:rPr>
                <w:rFonts w:cstheme="minorHAnsi"/>
                <w:sz w:val="24"/>
                <w:szCs w:val="24"/>
              </w:rPr>
            </w:pPr>
            <w:r w:rsidRPr="00EE47A0">
              <w:rPr>
                <w:rFonts w:cstheme="minorHAnsi"/>
                <w:sz w:val="24"/>
                <w:szCs w:val="24"/>
              </w:rPr>
              <w:lastRenderedPageBreak/>
              <w:t>16</w:t>
            </w:r>
          </w:p>
        </w:tc>
        <w:tc>
          <w:tcPr>
            <w:tcW w:w="1478"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Shah, 2017</w:t>
            </w:r>
            <w:r w:rsidRPr="00EE47A0">
              <w:rPr>
                <w:rFonts w:cstheme="minorHAnsi"/>
                <w:sz w:val="24"/>
                <w:szCs w:val="24"/>
              </w:rPr>
              <w:fldChar w:fldCharType="begin"/>
            </w:r>
            <w:r>
              <w:rPr>
                <w:rFonts w:cstheme="minorHAnsi"/>
                <w:sz w:val="24"/>
                <w:szCs w:val="24"/>
              </w:rPr>
              <w:instrText xml:space="preserve"> ADDIN ZOTERO_ITEM CSL_CITATION {"citationID":"loY92I8Y","properties":{"formattedCitation":"\\super 39\\nosupersub{}","plainCitation":"39","noteIndex":0},"citationItems":[{"id":451,"uris":["http://zotero.org/users/7954636/items/IJJIQA96"],"uri":["http://zotero.org/users/7954636/items/IJJIQA96"],"itemData":{"id":451,"type":"article-journal","abstract":"Hemophagocytic lymphohistiocytosis (HLH) is a potentially fatal disease, resulting\nfrom uninhibited T-cells causing a cytokine storm, and histiocytes engulfing other\nblood or marrow cells. The resulting syndrome, if left untreated, can cause a rapid\ndemise of a patient. We describe a patient who was on immunotherapy with pembrolizumab\nand developed HLH.","container-title":"Annals of Oncology","DOI":"10.1093/annonc/mdx113","ISSN":"0923-7534, 1569-8041","issue":"6","journalAbbreviation":"Annals of Oncology","language":"English","note":"publisher: Elsevier","page":"1403","source":"www.annalsofoncology.org","title":"Pembrolizumab associated hemophagocytic lymphohistiocytosis","volume":"28","author":[{"family":"Shah","given":"D."},{"family":"Shrestha","given":"R."},{"family":"Ramlal","given":"R."},{"family":"Hatton","given":"J."},{"family":"Saeed","given":"H."}],"issued":{"date-parts":[["2017",6,1]]}}}],"schema":"https://github.com/citation-style-language/schema/raw/master/csl-citation.json"} </w:instrText>
            </w:r>
            <w:r w:rsidRPr="00EE47A0">
              <w:rPr>
                <w:rFonts w:cstheme="minorHAnsi"/>
                <w:sz w:val="24"/>
                <w:szCs w:val="24"/>
              </w:rPr>
              <w:fldChar w:fldCharType="separate"/>
            </w:r>
            <w:r w:rsidRPr="00FE4A0A">
              <w:rPr>
                <w:rFonts w:ascii="Calibri" w:hAnsi="Calibri" w:cs="Calibri"/>
                <w:sz w:val="24"/>
                <w:szCs w:val="24"/>
                <w:vertAlign w:val="superscript"/>
              </w:rPr>
              <w:t>39</w:t>
            </w:r>
            <w:r w:rsidRPr="00EE47A0">
              <w:rPr>
                <w:rFonts w:cstheme="minorHAnsi"/>
                <w:sz w:val="24"/>
                <w:szCs w:val="24"/>
              </w:rPr>
              <w:fldChar w:fldCharType="end"/>
            </w:r>
          </w:p>
        </w:tc>
        <w:tc>
          <w:tcPr>
            <w:tcW w:w="180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Pembrolizumab</w:t>
            </w:r>
          </w:p>
        </w:tc>
        <w:tc>
          <w:tcPr>
            <w:tcW w:w="135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Metastatic bladder cancer</w:t>
            </w:r>
          </w:p>
        </w:tc>
        <w:tc>
          <w:tcPr>
            <w:tcW w:w="90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76</w:t>
            </w:r>
          </w:p>
        </w:tc>
        <w:tc>
          <w:tcPr>
            <w:tcW w:w="72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Male</w:t>
            </w:r>
          </w:p>
        </w:tc>
        <w:tc>
          <w:tcPr>
            <w:tcW w:w="108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9 months</w:t>
            </w:r>
          </w:p>
        </w:tc>
        <w:tc>
          <w:tcPr>
            <w:tcW w:w="234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Etoposide and dexamethasone per HLH 2004 protocol</w:t>
            </w:r>
          </w:p>
        </w:tc>
        <w:tc>
          <w:tcPr>
            <w:tcW w:w="153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NA</w:t>
            </w:r>
          </w:p>
        </w:tc>
        <w:tc>
          <w:tcPr>
            <w:tcW w:w="1440" w:type="dxa"/>
            <w:hideMark/>
          </w:tcPr>
          <w:p w:rsidR="000E4757" w:rsidRPr="00EE47A0" w:rsidRDefault="000E4757" w:rsidP="00454172">
            <w:pPr>
              <w:spacing w:line="480" w:lineRule="auto"/>
              <w:cnfStyle w:val="000000000000"/>
              <w:rPr>
                <w:rFonts w:cstheme="minorHAnsi"/>
                <w:sz w:val="24"/>
                <w:szCs w:val="24"/>
              </w:rPr>
            </w:pPr>
            <w:r w:rsidRPr="00EE47A0">
              <w:rPr>
                <w:rFonts w:cstheme="minorHAnsi"/>
                <w:sz w:val="24"/>
                <w:szCs w:val="24"/>
              </w:rPr>
              <w:t>None</w:t>
            </w:r>
          </w:p>
        </w:tc>
      </w:tr>
    </w:tbl>
    <w:p w:rsidR="008F182A" w:rsidRDefault="008F182A"/>
    <w:sectPr w:rsidR="008F182A" w:rsidSect="00B02727">
      <w:pgSz w:w="15840" w:h="12240" w:orient="landscape"/>
      <w:pgMar w:top="1800" w:right="1440" w:bottom="180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compat>
    <w:useFELayout/>
  </w:compat>
  <w:rsids>
    <w:rsidRoot w:val="000E4757"/>
    <w:rsid w:val="000E4757"/>
    <w:rsid w:val="0022613A"/>
    <w:rsid w:val="007B2BE8"/>
    <w:rsid w:val="008F182A"/>
    <w:rsid w:val="00B02727"/>
    <w:rsid w:val="00E11A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5DarkAccent3">
    <w:name w:val="Grid Table 5 Dark Accent 3"/>
    <w:basedOn w:val="TableNormal"/>
    <w:uiPriority w:val="50"/>
    <w:rsid w:val="000E475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4988</Words>
  <Characters>28437</Characters>
  <Application>Microsoft Office Word</Application>
  <DocSecurity>0</DocSecurity>
  <Lines>236</Lines>
  <Paragraphs>66</Paragraphs>
  <ScaleCrop>false</ScaleCrop>
  <Company/>
  <LinksUpToDate>false</LinksUpToDate>
  <CharactersWithSpaces>33359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Wei</dc:creator>
  <cp:keywords/>
  <dc:description/>
  <cp:lastModifiedBy>Robin Wei</cp:lastModifiedBy>
  <cp:revision>7</cp:revision>
  <dcterms:created xsi:type="dcterms:W3CDTF">2022-04-25T23:20:00Z</dcterms:created>
  <dcterms:modified xsi:type="dcterms:W3CDTF">2022-04-25T23:21:00Z</dcterms:modified>
</cp:coreProperties>
</file>