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6B" w:rsidRPr="00B66B69" w:rsidRDefault="00B26F6B" w:rsidP="00B26F6B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 w:rsidRPr="00B66B69">
        <w:rPr>
          <w:rFonts w:ascii="Times New Roman" w:hAnsi="Times New Roman"/>
          <w:b/>
          <w:bCs/>
          <w:sz w:val="24"/>
          <w:szCs w:val="24"/>
        </w:rPr>
        <w:t>Supplementary Table S1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B66B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6B69">
        <w:rPr>
          <w:rFonts w:ascii="Times New Roman" w:hAnsi="Times New Roman"/>
          <w:sz w:val="24"/>
          <w:szCs w:val="24"/>
        </w:rPr>
        <w:t>Correlation between different treatment strategies and clinicopathological characteristics in advanced NSCLC patients</w:t>
      </w:r>
    </w:p>
    <w:tbl>
      <w:tblPr>
        <w:tblW w:w="11879" w:type="dxa"/>
        <w:tblLook w:val="04A0"/>
      </w:tblPr>
      <w:tblGrid>
        <w:gridCol w:w="231"/>
        <w:gridCol w:w="2975"/>
        <w:gridCol w:w="1469"/>
        <w:gridCol w:w="1552"/>
        <w:gridCol w:w="1988"/>
        <w:gridCol w:w="2032"/>
        <w:gridCol w:w="756"/>
        <w:gridCol w:w="876"/>
      </w:tblGrid>
      <w:tr w:rsidR="00B26F6B" w:rsidRPr="00B23AC2" w:rsidTr="008920A8">
        <w:trPr>
          <w:trHeight w:val="523"/>
        </w:trPr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6B69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Anlotinib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Immunotherapy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A+P combination therapy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c</w:t>
            </w:r>
            <w:r w:rsidRPr="00B23AC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6B69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Age (years)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0.743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0.691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73 (51.4%)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>≥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69 (48.6%)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Gender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2.112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0.348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106 (74.6%)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38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43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Female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36 (25.4%)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Smoking history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2.380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0.304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44 (31.0%)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98 (69.0%)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41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Surgery treatment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0.906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0.636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120 (84.5%)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46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22 (15.5%)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No. of prior systemic regimens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6.606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0.158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eastAsia="宋体" w:hAnsi="Times New Roman" w:hint="eastAsia"/>
                <w:sz w:val="24"/>
                <w:szCs w:val="24"/>
              </w:rPr>
              <w:t>≤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46 (32.4%)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68 (47.9%)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&gt;3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28 (19.7%)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ECOG performance status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0.595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0.743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124 (87.3%)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49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18 (12.7%)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Histological subtype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4.998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0.082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Squamous cell carcinoma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52 (36.6%)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Adenocarcinoma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90 (63.4%)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41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TNM classification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0.757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0.685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14 (9.9%)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128 (90.1%)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Tumor invasion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8.709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0.191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 (1.4%)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7 (4.9%)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22 (15.5%)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111 (78.2%)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44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Lymph node metastasis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3.157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0.789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N0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 (0.7%)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 (2.1%)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18 (12.7%)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N3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120 (84.5%)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46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Distant metastasis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0.757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0.685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M0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14 (9.9%)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128 (90.1%)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Metastatic sites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2.196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0.334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&lt;3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70 (49.3%)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eastAsia="宋体" w:hAnsi="Times New Roman" w:hint="eastAsia"/>
                <w:sz w:val="24"/>
                <w:szCs w:val="24"/>
              </w:rPr>
              <w:t>≥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72 (50.7%)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Brain metastasis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6.118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0.047*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86 (60.6%)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41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56 (39.4%)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Liver metastases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4.466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0.107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94 (66.2%)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39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48 (33.8%)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Bone metastases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4.422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0.110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95 (66.9%)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36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47 (33.1%)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PD-L1 TPS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6.521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0.367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&lt;1%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11 (7.7%)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1-49%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25 (17.6%)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>≥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22 (15.5%)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Unknown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84 (59.2%)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EGFR mutation status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8.516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0.074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Wild type (-)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61 (43.0%)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Mutant (+)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26 (18.3%)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Unknown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55 (38.7%)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EGFR mutation subtype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2.981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0.811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19del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11 (42.3%)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21L858R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12 (46.2%)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T90M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 (7.7%)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Others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 (3.8%)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Previous thoracic radiation therapy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1.423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0.491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104 (73.2%)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41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39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38 (26.8%)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Previous antivascular drug therapy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1.398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0.497 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112 (78.9%)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42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44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30 (21.1%)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26F6B" w:rsidRPr="00B23AC2" w:rsidTr="008920A8">
        <w:trPr>
          <w:trHeight w:val="281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*</w:t>
            </w:r>
            <w:r w:rsidRPr="00B66B69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&lt; 0.05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F6B" w:rsidRPr="00B66B69" w:rsidRDefault="00B26F6B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</w:tbl>
    <w:p w:rsidR="009A587E" w:rsidRDefault="009A587E"/>
    <w:sectPr w:rsidR="009A587E" w:rsidSect="007461E5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>
    <w:useFELayout/>
  </w:compat>
  <w:rsids>
    <w:rsidRoot w:val="00B26F6B"/>
    <w:rsid w:val="00321899"/>
    <w:rsid w:val="007461E5"/>
    <w:rsid w:val="009A587E"/>
    <w:rsid w:val="00B2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2022-09-01T07:23:00Z</dcterms:created>
  <dcterms:modified xsi:type="dcterms:W3CDTF">2022-09-01T07:25:00Z</dcterms:modified>
</cp:coreProperties>
</file>