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22" w:rsidRPr="00B66B69" w:rsidRDefault="00D31322" w:rsidP="00D31322">
      <w:pPr>
        <w:adjustRightInd w:val="0"/>
        <w:snapToGrid w:val="0"/>
        <w:rPr>
          <w:rFonts w:ascii="Times New Roman" w:hAnsi="Times New Roman"/>
          <w:b/>
          <w:bCs/>
          <w:sz w:val="24"/>
          <w:szCs w:val="24"/>
        </w:rPr>
      </w:pPr>
    </w:p>
    <w:p w:rsidR="00D31322" w:rsidRPr="00B66B69" w:rsidRDefault="00D31322" w:rsidP="00D31322">
      <w:pPr>
        <w:adjustRightInd w:val="0"/>
        <w:snapToGrid w:val="0"/>
        <w:rPr>
          <w:rFonts w:ascii="Times New Roman" w:hAnsi="Times New Roman"/>
          <w:sz w:val="24"/>
          <w:szCs w:val="24"/>
        </w:rPr>
      </w:pPr>
      <w:r w:rsidRPr="00B66B69">
        <w:rPr>
          <w:rFonts w:ascii="Times New Roman" w:hAnsi="Times New Roman"/>
          <w:b/>
          <w:bCs/>
          <w:sz w:val="24"/>
          <w:szCs w:val="24"/>
        </w:rPr>
        <w:t>Supplementary Table S2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B66B69">
        <w:rPr>
          <w:rFonts w:ascii="Times New Roman" w:hAnsi="Times New Roman"/>
          <w:sz w:val="24"/>
          <w:szCs w:val="24"/>
        </w:rPr>
        <w:t xml:space="preserve"> Clinical efficacy of Anlotinib combined with Anti-PD-1 Immunotherapy in advanced NSCLC patients</w:t>
      </w:r>
    </w:p>
    <w:tbl>
      <w:tblPr>
        <w:tblW w:w="11970" w:type="dxa"/>
        <w:tblLook w:val="04A0"/>
      </w:tblPr>
      <w:tblGrid>
        <w:gridCol w:w="256"/>
        <w:gridCol w:w="2426"/>
        <w:gridCol w:w="1570"/>
        <w:gridCol w:w="1761"/>
        <w:gridCol w:w="2125"/>
        <w:gridCol w:w="2172"/>
        <w:gridCol w:w="769"/>
        <w:gridCol w:w="891"/>
      </w:tblGrid>
      <w:tr w:rsidR="00D31322" w:rsidRPr="00B23AC2" w:rsidTr="008920A8">
        <w:trPr>
          <w:trHeight w:val="683"/>
        </w:trPr>
        <w:tc>
          <w:tcPr>
            <w:tcW w:w="2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n</w:t>
            </w:r>
            <w:r w:rsidRPr="00B66B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Anlotinib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Immunotherapy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A+P combination therapy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color w:val="000000"/>
                <w:sz w:val="24"/>
                <w:szCs w:val="24"/>
                <w:vertAlign w:val="superscript"/>
              </w:rPr>
              <w:t>c</w:t>
            </w:r>
            <w:r w:rsidRPr="00B23AC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</w:t>
            </w:r>
          </w:p>
        </w:tc>
      </w:tr>
      <w:tr w:rsidR="00D31322" w:rsidRPr="00B23AC2" w:rsidTr="008920A8">
        <w:trPr>
          <w:trHeight w:val="426"/>
        </w:trPr>
        <w:tc>
          <w:tcPr>
            <w:tcW w:w="26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Efficacy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9.607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0.048*</w:t>
            </w:r>
          </w:p>
        </w:tc>
      </w:tr>
      <w:tr w:rsidR="00D31322" w:rsidRPr="00B23AC2" w:rsidTr="008920A8">
        <w:trPr>
          <w:trHeight w:val="426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Complete response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D31322" w:rsidRPr="00B23AC2" w:rsidTr="008920A8">
        <w:trPr>
          <w:trHeight w:val="426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Partial response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40 (28.2%)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10 (7.0%)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7 (4.9%)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23 (16.2%)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D31322" w:rsidRPr="00B23AC2" w:rsidTr="008920A8">
        <w:trPr>
          <w:trHeight w:val="426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Stable disease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61 (43.0%)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24 (16.9%)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13 (9.2%)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24 (16.9%)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D31322" w:rsidRPr="00B23AC2" w:rsidTr="008920A8">
        <w:trPr>
          <w:trHeight w:val="426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Progressive disease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41 (28.9%)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21 (14.8%)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10 (7.0%)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10 (7.0%)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D31322" w:rsidRPr="00B23AC2" w:rsidTr="008920A8">
        <w:trPr>
          <w:trHeight w:val="426"/>
        </w:trPr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Overall response rate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40 (28.2%)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10 (7.0%)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7 (4.9%)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23 (16.2%)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7.238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0.027*</w:t>
            </w:r>
          </w:p>
        </w:tc>
      </w:tr>
      <w:tr w:rsidR="00D31322" w:rsidRPr="00B23AC2" w:rsidTr="008920A8">
        <w:trPr>
          <w:trHeight w:val="426"/>
        </w:trPr>
        <w:tc>
          <w:tcPr>
            <w:tcW w:w="2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Disease Control Rate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101 (71.1%)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34 (23.9%)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20 (14.1%)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47 (33.1%)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6.174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0.046*</w:t>
            </w:r>
          </w:p>
        </w:tc>
      </w:tr>
      <w:tr w:rsidR="00D31322" w:rsidRPr="00B23AC2" w:rsidTr="008920A8">
        <w:trPr>
          <w:trHeight w:val="426"/>
        </w:trPr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*</w:t>
            </w:r>
            <w:r w:rsidRPr="00B66B69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r w:rsidRPr="00B66B69">
              <w:rPr>
                <w:rFonts w:ascii="Times New Roman" w:hAnsi="Times New Roman"/>
                <w:sz w:val="24"/>
                <w:szCs w:val="24"/>
              </w:rPr>
              <w:t>&lt; 0.05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1322" w:rsidRPr="00B66B69" w:rsidRDefault="00D3132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</w:tbl>
    <w:p w:rsidR="00D31322" w:rsidRPr="00B66B69" w:rsidRDefault="00D31322" w:rsidP="00D31322">
      <w:pPr>
        <w:adjustRightInd w:val="0"/>
        <w:snapToGrid w:val="0"/>
        <w:rPr>
          <w:rFonts w:ascii="Times New Roman" w:hAnsi="Times New Roman"/>
          <w:b/>
          <w:bCs/>
          <w:sz w:val="24"/>
          <w:szCs w:val="24"/>
        </w:rPr>
      </w:pPr>
    </w:p>
    <w:p w:rsidR="00B8421F" w:rsidRDefault="00B8421F"/>
    <w:sectPr w:rsidR="00B8421F" w:rsidSect="00FF7671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compat>
    <w:useFELayout/>
  </w:compat>
  <w:rsids>
    <w:rsidRoot w:val="00D31322"/>
    <w:rsid w:val="0049473F"/>
    <w:rsid w:val="00B8421F"/>
    <w:rsid w:val="00D31322"/>
    <w:rsid w:val="00FF7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2022-09-01T07:23:00Z</dcterms:created>
  <dcterms:modified xsi:type="dcterms:W3CDTF">2022-09-01T07:25:00Z</dcterms:modified>
</cp:coreProperties>
</file>