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82" w:rsidRPr="00B66B69" w:rsidRDefault="00F72882" w:rsidP="00F72882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B66B69">
        <w:rPr>
          <w:rFonts w:ascii="Times New Roman" w:hAnsi="Times New Roman"/>
          <w:b/>
          <w:bCs/>
          <w:sz w:val="24"/>
          <w:szCs w:val="24"/>
        </w:rPr>
        <w:t>Supplementary Table S3.</w:t>
      </w:r>
      <w:r w:rsidRPr="00B66B69">
        <w:rPr>
          <w:rFonts w:ascii="Times New Roman" w:hAnsi="Times New Roman"/>
          <w:sz w:val="24"/>
          <w:szCs w:val="24"/>
        </w:rPr>
        <w:t xml:space="preserve"> Univariate and multivariate Cox regression analysis for recurrence in advanced NSCLC patients</w:t>
      </w:r>
    </w:p>
    <w:tbl>
      <w:tblPr>
        <w:tblW w:w="11664" w:type="dxa"/>
        <w:tblLook w:val="04A0"/>
      </w:tblPr>
      <w:tblGrid>
        <w:gridCol w:w="222"/>
        <w:gridCol w:w="4582"/>
        <w:gridCol w:w="2173"/>
        <w:gridCol w:w="1252"/>
        <w:gridCol w:w="222"/>
        <w:gridCol w:w="2173"/>
        <w:gridCol w:w="1040"/>
      </w:tblGrid>
      <w:tr w:rsidR="00F7288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Univariate analysis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Multivariate analysis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HR (95% CI)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-Value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HR (95% CI)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sz w:val="24"/>
                <w:szCs w:val="24"/>
              </w:rPr>
              <w:t>P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-Value</w:t>
            </w:r>
          </w:p>
        </w:tc>
      </w:tr>
      <w:tr w:rsidR="00F7288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Baseline information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i/>
                <w:iCs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i/>
                <w:iCs/>
                <w:sz w:val="24"/>
                <w:szCs w:val="24"/>
              </w:rPr>
              <w:t xml:space="preserve">　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Age (</w:t>
            </w:r>
            <w:r w:rsidRPr="00B66B69">
              <w:rPr>
                <w:rFonts w:ascii="Times New Roman" w:eastAsia="宋体" w:hAnsi="Times New Roman" w:hint="eastAsia"/>
                <w:sz w:val="24"/>
                <w:szCs w:val="24"/>
              </w:rPr>
              <w:t>≥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60 vs. &lt;60)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0.797 (0.549-1156)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0.231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1.075 (0.702-1.644)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0.740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Gender (Male vs. Female)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1.337 (0.874-2.043)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0.180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2.061 (0.713-5.960)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0.182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Smoking history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0.984 (0.657-1.474)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0.939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1.703 (0.618-4.690)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0.303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Surgery treatment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0.582 (0.337-1.004)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0.052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0.618 (0.336-1.137)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0.122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ECOG performance status (0-1 vs. 2)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1.372 (0.806-2.336)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0.243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1.682 (0.913-3.098)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0.095</w:t>
            </w:r>
          </w:p>
        </w:tc>
      </w:tr>
      <w:tr w:rsidR="00F7288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Clinical data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TNM classification (III vs. IV stage)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5.933 (1.881-18.715)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0.002**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4.098 (1.131-14.848)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0.032*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Tumor invasion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1.453 (1.044-2.021)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0.027*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1.114 (0.768-1.616)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0.569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Lymph node metastasis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1.175 (0.750-1.840)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0.483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0.906 (0.545-1.506)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0.703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Distant metastasis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5.933 (1.881-18.715)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0.002**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4.098 (1.131-14.848)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0.032*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Metastatic sites (</w:t>
            </w:r>
            <w:r w:rsidRPr="00B66B69"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3 vs. &lt;3)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2.171 (1.489-3.165)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&lt;0.001***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1.661 (1.078-2.562)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0.022*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Brain metastasis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1.6632 (1.144-2.416)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0.008**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1.146 (0.950-1.383)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0.095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Liver metastases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2.248 (1.521-3.323)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&lt;0.001***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1.842 (1.172-2.895)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0.008**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Bone metastases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1.860 (1.267-2.730)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0.002**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1.174 (0.674-2.043)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0.571</w:t>
            </w:r>
          </w:p>
        </w:tc>
      </w:tr>
      <w:tr w:rsidR="00F7288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Pathological characteristics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Histological subtype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1.332 (0.891-1.991)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0.162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0.876 (0.525-1.460)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0.611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PD-L1 TPS (Positive vs. Negative)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1.097 (0.920-1.309)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0.302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1.182 (0.966-1.446)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0.104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EGFR mutation status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1.343 (0.823-2.190)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0.238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1.616 (0.555-4.704)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0.379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EGFR mutation subtype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1.288 (0.942-1.763)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0.822 (0.485-1.394)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0.467</w:t>
            </w:r>
          </w:p>
        </w:tc>
      </w:tr>
      <w:tr w:rsidR="00F7288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Past medical history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No. of prior systemic regimens (</w:t>
            </w:r>
            <w:r w:rsidRPr="00B66B69">
              <w:rPr>
                <w:rFonts w:ascii="Times New Roman" w:eastAsia="宋体" w:hAnsi="Times New Roman" w:hint="eastAsia"/>
                <w:sz w:val="24"/>
                <w:szCs w:val="24"/>
              </w:rPr>
              <w:t>≥</w:t>
            </w:r>
            <w:r w:rsidRPr="00B66B69">
              <w:rPr>
                <w:rFonts w:ascii="Times New Roman" w:hAnsi="Times New Roman"/>
                <w:sz w:val="24"/>
                <w:szCs w:val="24"/>
              </w:rPr>
              <w:t>3 vs. &lt;3)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1.194 (1.015-1.405)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0.033*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1.137 (0.937-1.378)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0.193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Previous thoracic radiation therapy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0.658 (0.421-1.030)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0.732 (0.439-1.220)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0.232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Previous antivascular drug therapy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1.302 (0.843-2.013)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0.234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1.053 (0.605-1.834)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0.855</w:t>
            </w:r>
          </w:p>
        </w:tc>
      </w:tr>
      <w:tr w:rsidR="00F72882" w:rsidRPr="00B23AC2" w:rsidTr="008920A8">
        <w:trPr>
          <w:trHeight w:val="345"/>
        </w:trPr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Treatment strategies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A+P combination vs. Anlotinib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0.777 (0.626-0.964)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0.022*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0.759 (0.588-0.979)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0.034*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A+P combination vs. Immunotherapy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0.507 (0.306-0.839)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0.008**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0.516 (0.282-0.941)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0.031*</w:t>
            </w:r>
          </w:p>
        </w:tc>
      </w:tr>
      <w:tr w:rsidR="00F72882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Anlotinib vs. Immunotherapy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1.169 (0.729-1.876)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0.517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0.798 (0.425-1.498)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72882" w:rsidRPr="00B66B69" w:rsidRDefault="00F72882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0.482</w:t>
            </w:r>
          </w:p>
        </w:tc>
      </w:tr>
    </w:tbl>
    <w:p w:rsidR="00F72882" w:rsidRDefault="00F72882" w:rsidP="00F72882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025081">
        <w:rPr>
          <w:rFonts w:ascii="Times New Roman" w:hAnsi="Times New Roman"/>
          <w:sz w:val="24"/>
          <w:szCs w:val="24"/>
        </w:rPr>
        <w:t>Abbreviations:</w:t>
      </w:r>
      <w:r w:rsidRPr="00025081">
        <w:rPr>
          <w:rFonts w:ascii="Times New Roman" w:hAnsi="Times New Roman"/>
          <w:i/>
          <w:iCs/>
          <w:sz w:val="24"/>
          <w:szCs w:val="24"/>
        </w:rPr>
        <w:t xml:space="preserve"> HR</w:t>
      </w:r>
      <w:r w:rsidRPr="00025081">
        <w:rPr>
          <w:rFonts w:ascii="Times New Roman" w:hAnsi="Times New Roman"/>
          <w:sz w:val="24"/>
          <w:szCs w:val="24"/>
        </w:rPr>
        <w:t xml:space="preserve"> hazard ratio, </w:t>
      </w:r>
      <w:r w:rsidRPr="00025081">
        <w:rPr>
          <w:rFonts w:ascii="Times New Roman" w:hAnsi="Times New Roman"/>
          <w:i/>
          <w:iCs/>
          <w:sz w:val="24"/>
          <w:szCs w:val="24"/>
        </w:rPr>
        <w:t>CI</w:t>
      </w:r>
      <w:r w:rsidRPr="00025081">
        <w:rPr>
          <w:rFonts w:ascii="Times New Roman" w:hAnsi="Times New Roman"/>
          <w:sz w:val="24"/>
          <w:szCs w:val="24"/>
        </w:rPr>
        <w:t xml:space="preserve"> confidence interval, *</w:t>
      </w:r>
      <w:r w:rsidRPr="00025081">
        <w:rPr>
          <w:rFonts w:ascii="Times New Roman" w:hAnsi="Times New Roman"/>
          <w:i/>
          <w:iCs/>
          <w:sz w:val="24"/>
          <w:szCs w:val="24"/>
        </w:rPr>
        <w:t>P</w:t>
      </w:r>
      <w:r w:rsidRPr="00025081">
        <w:rPr>
          <w:rFonts w:ascii="Times New Roman" w:hAnsi="Times New Roman"/>
          <w:sz w:val="24"/>
          <w:szCs w:val="24"/>
        </w:rPr>
        <w:t>&lt; 0.05, **</w:t>
      </w:r>
      <w:r w:rsidRPr="00025081">
        <w:rPr>
          <w:rFonts w:ascii="Times New Roman" w:hAnsi="Times New Roman"/>
          <w:i/>
          <w:iCs/>
          <w:sz w:val="24"/>
          <w:szCs w:val="24"/>
        </w:rPr>
        <w:t>P</w:t>
      </w:r>
      <w:r w:rsidRPr="00025081">
        <w:rPr>
          <w:rFonts w:ascii="Times New Roman" w:hAnsi="Times New Roman"/>
          <w:sz w:val="24"/>
          <w:szCs w:val="24"/>
        </w:rPr>
        <w:t>&lt; 0.01, ***</w:t>
      </w:r>
      <w:r w:rsidRPr="00025081">
        <w:rPr>
          <w:rFonts w:ascii="Times New Roman" w:hAnsi="Times New Roman"/>
          <w:i/>
          <w:iCs/>
          <w:sz w:val="24"/>
          <w:szCs w:val="24"/>
        </w:rPr>
        <w:t>P</w:t>
      </w:r>
      <w:r w:rsidRPr="00025081">
        <w:rPr>
          <w:rFonts w:ascii="Times New Roman" w:hAnsi="Times New Roman"/>
          <w:sz w:val="24"/>
          <w:szCs w:val="24"/>
        </w:rPr>
        <w:t>&lt; 0.001</w:t>
      </w:r>
    </w:p>
    <w:p w:rsidR="00F72882" w:rsidRDefault="00F72882" w:rsidP="00F72882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9B0BC5" w:rsidRDefault="009B0BC5"/>
    <w:sectPr w:rsidR="009B0BC5" w:rsidSect="00F300E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seFELayout/>
  </w:compat>
  <w:rsids>
    <w:rsidRoot w:val="00F72882"/>
    <w:rsid w:val="00012D80"/>
    <w:rsid w:val="009B0BC5"/>
    <w:rsid w:val="00F300EF"/>
    <w:rsid w:val="00F7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2022-09-01T07:23:00Z</dcterms:created>
  <dcterms:modified xsi:type="dcterms:W3CDTF">2022-09-01T07:25:00Z</dcterms:modified>
</cp:coreProperties>
</file>