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A6" w:rsidRPr="00F775F5" w:rsidRDefault="00D57CA6" w:rsidP="00D57CA6">
      <w:pPr>
        <w:adjustRightInd w:val="0"/>
        <w:snapToGrid w:val="0"/>
        <w:rPr>
          <w:rFonts w:ascii="Times New Roman" w:hAnsi="Times New Roman" w:cs="Times New Roman"/>
          <w:b/>
          <w:sz w:val="24"/>
        </w:rPr>
      </w:pPr>
      <w:r w:rsidRPr="00F775F5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273675" cy="36423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t="3605" b="4755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33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CA6" w:rsidRPr="00F775F5" w:rsidRDefault="00D57CA6" w:rsidP="00D57CA6">
      <w:pPr>
        <w:adjustRightInd w:val="0"/>
        <w:snapToGrid w:val="0"/>
        <w:rPr>
          <w:rFonts w:ascii="Times New Roman" w:eastAsia="宋体" w:hAnsi="Times New Roman" w:cs="Times New Roman"/>
          <w:color w:val="0D0D0D"/>
          <w:sz w:val="24"/>
        </w:rPr>
      </w:pPr>
      <w:r w:rsidRPr="00F775F5">
        <w:rPr>
          <w:rFonts w:ascii="Times New Roman" w:hAnsi="Times New Roman" w:cs="Times New Roman"/>
          <w:b/>
          <w:color w:val="0D0D0D"/>
          <w:sz w:val="24"/>
        </w:rPr>
        <w:t>Supplementary Figure 1</w:t>
      </w:r>
      <w:r>
        <w:rPr>
          <w:rFonts w:ascii="Times New Roman" w:hAnsi="Times New Roman" w:cs="Times New Roman"/>
          <w:b/>
          <w:color w:val="0D0D0D"/>
          <w:sz w:val="24"/>
        </w:rPr>
        <w:t xml:space="preserve">.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A</w:t>
      </w:r>
      <w:r w:rsidRPr="00F775F5">
        <w:rPr>
          <w:rFonts w:ascii="Times New Roman" w:hAnsi="Times New Roman" w:cs="Times New Roman"/>
          <w:color w:val="0D0D0D"/>
          <w:sz w:val="24"/>
        </w:rPr>
        <w:t xml:space="preserve">.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The relative mRNA expression of 4 CRGs (LIPT1, DLAT, CDKN2A and GLS) in HCC and normal liver tissues in the TCGA cohort.</w:t>
      </w:r>
      <w:r>
        <w:rPr>
          <w:rFonts w:ascii="Times New Roman" w:eastAsia="宋体" w:hAnsi="Times New Roman" w:cs="Times New Roman"/>
          <w:color w:val="0D0D0D"/>
          <w:sz w:val="24"/>
        </w:rPr>
        <w:t xml:space="preserve">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B</w:t>
      </w:r>
      <w:r w:rsidRPr="00F775F5">
        <w:rPr>
          <w:rFonts w:ascii="Times New Roman" w:hAnsi="Times New Roman" w:cs="Times New Roman"/>
          <w:color w:val="0D0D0D"/>
          <w:sz w:val="24"/>
        </w:rPr>
        <w:t>. Overall survival of HCC patients were compared between the ‘‘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LIPT1 high</w:t>
      </w:r>
      <w:r w:rsidRPr="00F775F5">
        <w:rPr>
          <w:rFonts w:ascii="Times New Roman" w:hAnsi="Times New Roman" w:cs="Times New Roman"/>
          <w:color w:val="0D0D0D"/>
          <w:sz w:val="24"/>
        </w:rPr>
        <w:t>’’ and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“LIPT1 low” </w:t>
      </w:r>
      <w:r w:rsidRPr="00F775F5">
        <w:rPr>
          <w:rFonts w:ascii="Times New Roman" w:hAnsi="Times New Roman" w:cs="Times New Roman"/>
          <w:color w:val="0D0D0D"/>
          <w:sz w:val="24"/>
        </w:rPr>
        <w:t>groups using Kaplan-Meier analysis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in the TCGA cohort.</w:t>
      </w:r>
      <w:r>
        <w:rPr>
          <w:rFonts w:ascii="Times New Roman" w:eastAsia="宋体" w:hAnsi="Times New Roman" w:cs="Times New Roman"/>
          <w:color w:val="0D0D0D"/>
          <w:sz w:val="24"/>
        </w:rPr>
        <w:t xml:space="preserve">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C</w:t>
      </w:r>
      <w:r w:rsidRPr="00F775F5">
        <w:rPr>
          <w:rFonts w:ascii="Times New Roman" w:hAnsi="Times New Roman" w:cs="Times New Roman"/>
          <w:color w:val="0D0D0D"/>
          <w:sz w:val="24"/>
        </w:rPr>
        <w:t>. Overall survival of HCC patients was compared between the ‘‘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DLAT high</w:t>
      </w:r>
      <w:r w:rsidRPr="00F775F5">
        <w:rPr>
          <w:rFonts w:ascii="Times New Roman" w:hAnsi="Times New Roman" w:cs="Times New Roman"/>
          <w:color w:val="0D0D0D"/>
          <w:sz w:val="24"/>
        </w:rPr>
        <w:t>’’ and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“DLAT low” </w:t>
      </w:r>
      <w:r w:rsidRPr="00F775F5">
        <w:rPr>
          <w:rFonts w:ascii="Times New Roman" w:hAnsi="Times New Roman" w:cs="Times New Roman"/>
          <w:color w:val="0D0D0D"/>
          <w:sz w:val="24"/>
        </w:rPr>
        <w:t>groups using Kaplan-Meier analysis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in the TCGA cohort.</w:t>
      </w:r>
      <w:r>
        <w:rPr>
          <w:rFonts w:ascii="Times New Roman" w:eastAsia="宋体" w:hAnsi="Times New Roman" w:cs="Times New Roman"/>
          <w:color w:val="0D0D0D"/>
          <w:sz w:val="24"/>
        </w:rPr>
        <w:t xml:space="preserve">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D</w:t>
      </w:r>
      <w:r w:rsidRPr="00F775F5">
        <w:rPr>
          <w:rFonts w:ascii="Times New Roman" w:hAnsi="Times New Roman" w:cs="Times New Roman"/>
          <w:color w:val="0D0D0D"/>
          <w:sz w:val="24"/>
        </w:rPr>
        <w:t>. Overall survival of HCC patients was compared between the ‘‘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CDKN2A high</w:t>
      </w:r>
      <w:r w:rsidRPr="00F775F5">
        <w:rPr>
          <w:rFonts w:ascii="Times New Roman" w:hAnsi="Times New Roman" w:cs="Times New Roman"/>
          <w:color w:val="0D0D0D"/>
          <w:sz w:val="24"/>
        </w:rPr>
        <w:t>’’ and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“CDKN2A low” </w:t>
      </w:r>
      <w:r w:rsidRPr="00F775F5">
        <w:rPr>
          <w:rFonts w:ascii="Times New Roman" w:hAnsi="Times New Roman" w:cs="Times New Roman"/>
          <w:color w:val="0D0D0D"/>
          <w:sz w:val="24"/>
        </w:rPr>
        <w:t>groups using Kaplan-Meier analysis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in the TCGA cohort.</w:t>
      </w:r>
      <w:r>
        <w:rPr>
          <w:rFonts w:ascii="Times New Roman" w:eastAsia="宋体" w:hAnsi="Times New Roman" w:cs="Times New Roman"/>
          <w:color w:val="0D0D0D"/>
          <w:sz w:val="24"/>
        </w:rPr>
        <w:t xml:space="preserve"> 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E</w:t>
      </w:r>
      <w:r w:rsidRPr="00F775F5">
        <w:rPr>
          <w:rFonts w:ascii="Times New Roman" w:hAnsi="Times New Roman" w:cs="Times New Roman"/>
          <w:color w:val="0D0D0D"/>
          <w:sz w:val="24"/>
        </w:rPr>
        <w:t>. Overall survival of HCC patients was compared between the ‘‘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>GLS high</w:t>
      </w:r>
      <w:r w:rsidRPr="00F775F5">
        <w:rPr>
          <w:rFonts w:ascii="Times New Roman" w:hAnsi="Times New Roman" w:cs="Times New Roman"/>
          <w:color w:val="0D0D0D"/>
          <w:sz w:val="24"/>
        </w:rPr>
        <w:t>’’ and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“GLS low” </w:t>
      </w:r>
      <w:r w:rsidRPr="00F775F5">
        <w:rPr>
          <w:rFonts w:ascii="Times New Roman" w:hAnsi="Times New Roman" w:cs="Times New Roman"/>
          <w:color w:val="0D0D0D"/>
          <w:sz w:val="24"/>
        </w:rPr>
        <w:t>groups using Kaplan-Meier analysis</w:t>
      </w:r>
      <w:r w:rsidRPr="00F775F5">
        <w:rPr>
          <w:rFonts w:ascii="Times New Roman" w:eastAsia="宋体" w:hAnsi="Times New Roman" w:cs="Times New Roman"/>
          <w:color w:val="0D0D0D"/>
          <w:sz w:val="24"/>
        </w:rPr>
        <w:t xml:space="preserve"> in the TCGA cohort.</w:t>
      </w:r>
    </w:p>
    <w:p w:rsidR="00FE1055" w:rsidRDefault="00FE1055"/>
    <w:sectPr w:rsidR="00FE10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D57CA6"/>
    <w:rsid w:val="00D57CA6"/>
    <w:rsid w:val="00FE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2022-10-23T07:16:00Z</dcterms:created>
  <dcterms:modified xsi:type="dcterms:W3CDTF">2022-10-23T07:17:00Z</dcterms:modified>
</cp:coreProperties>
</file>