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3" w:rsidRDefault="004D5722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  <w:r>
        <w:rPr>
          <w:rFonts w:ascii="Times New Roman" w:eastAsia="SimSun" w:hAnsi="Times New Roman" w:cs="Times New Roman"/>
          <w:color w:val="0D0D0D"/>
          <w:lang w:eastAsia="zh-CN"/>
        </w:rPr>
        <w:t xml:space="preserve"> </w:t>
      </w:r>
    </w:p>
    <w:p w:rsidR="00516043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</w:p>
    <w:p w:rsidR="00516043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</w:p>
    <w:p w:rsidR="00516043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</w:p>
    <w:p w:rsidR="00516043" w:rsidRPr="00C012EF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  <w:r w:rsidRPr="00C012EF">
        <w:rPr>
          <w:rFonts w:ascii="Times New Roman" w:eastAsia="SimSun" w:hAnsi="Times New Roman" w:cs="Times New Roman"/>
          <w:b/>
          <w:bCs/>
          <w:color w:val="000000"/>
          <w:lang w:eastAsia="zh-CN"/>
        </w:rPr>
        <w:t>S</w:t>
      </w:r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uppl </w:t>
      </w:r>
      <w:r w:rsidRPr="00C012EF">
        <w:rPr>
          <w:rFonts w:ascii="Times New Roman" w:eastAsia="SimSun" w:hAnsi="Times New Roman" w:cs="Times New Roman"/>
          <w:b/>
          <w:bCs/>
          <w:color w:val="000000"/>
          <w:lang w:eastAsia="zh-CN"/>
        </w:rPr>
        <w:t>3. Univariate and multivariate analysis of disease free survival in Cohort 1</w:t>
      </w:r>
    </w:p>
    <w:tbl>
      <w:tblPr>
        <w:tblpPr w:leftFromText="180" w:rightFromText="180" w:vertAnchor="text" w:horzAnchor="page" w:tblpX="1351" w:tblpY="198"/>
        <w:tblOverlap w:val="never"/>
        <w:tblW w:w="9611" w:type="dxa"/>
        <w:tblLayout w:type="fixed"/>
        <w:tblLook w:val="04A0"/>
      </w:tblPr>
      <w:tblGrid>
        <w:gridCol w:w="1577"/>
        <w:gridCol w:w="1629"/>
        <w:gridCol w:w="820"/>
        <w:gridCol w:w="240"/>
        <w:gridCol w:w="1730"/>
        <w:gridCol w:w="790"/>
        <w:gridCol w:w="240"/>
        <w:gridCol w:w="1785"/>
        <w:gridCol w:w="800"/>
      </w:tblGrid>
      <w:tr w:rsidR="00516043" w:rsidRPr="00875F96" w:rsidTr="00C012EF">
        <w:trPr>
          <w:trHeight w:hRule="exact" w:val="283"/>
          <w:tblHeader/>
        </w:trPr>
        <w:tc>
          <w:tcPr>
            <w:tcW w:w="15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Characteristics</w:t>
            </w:r>
          </w:p>
        </w:tc>
        <w:tc>
          <w:tcPr>
            <w:tcW w:w="2449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Univariate analysis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Multivariate analysis</w:t>
            </w:r>
            <w:r w:rsidRPr="00C012EF">
              <w:rPr>
                <w:rFonts w:ascii="Times New Roman" w:eastAsia="SimSun" w:hAnsi="Times New Roman" w:cs="Times New Roman"/>
                <w:color w:val="000000"/>
                <w:vertAlign w:val="superscript"/>
                <w:lang w:eastAsia="zh-CN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Multivariate analysis</w:t>
            </w:r>
            <w:r w:rsidRPr="00C012EF">
              <w:rPr>
                <w:rFonts w:ascii="Times New Roman" w:eastAsia="SimSu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516043" w:rsidRPr="00875F96" w:rsidTr="00C012EF">
        <w:trPr>
          <w:trHeight w:hRule="exact" w:val="320"/>
          <w:tblHeader/>
        </w:trPr>
        <w:tc>
          <w:tcPr>
            <w:tcW w:w="157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29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Hazard ratio (95% CI)</w:t>
            </w:r>
          </w:p>
        </w:tc>
        <w:tc>
          <w:tcPr>
            <w:tcW w:w="820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 value</w:t>
            </w:r>
          </w:p>
        </w:tc>
        <w:tc>
          <w:tcPr>
            <w:tcW w:w="2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Hazard ratio (95% CI)</w:t>
            </w:r>
          </w:p>
        </w:tc>
        <w:tc>
          <w:tcPr>
            <w:tcW w:w="790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 value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Hazard ratio (95% CI)</w:t>
            </w:r>
          </w:p>
        </w:tc>
        <w:tc>
          <w:tcPr>
            <w:tcW w:w="800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 value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Gender</w:t>
            </w:r>
          </w:p>
        </w:tc>
        <w:tc>
          <w:tcPr>
            <w:tcW w:w="16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4D57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ind w:firstLineChars="100" w:firstLine="24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fenale vs male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1.644 (0.892 - 3.031)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0.111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Age (year)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≥60 vs &lt;59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0.980 (0.525 - 1.827)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Tumor size (cm)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≥5 vs &lt;5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0.904 (0.474 - 1.723)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0.758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Differentiation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moderately vs well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0.690 (0.239 - 1.997)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0.494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poorly vs well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1.273 (0.419 - 3.871)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0.670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Vessel invasion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yse vs no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2.768 (1.350 - 5.677)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1.865 (0.805 - 4.322)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0.146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Nerve invasion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yse vs no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4.183 (1.477 - 11.843)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1.651 (0.472 - 5.781)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0.433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T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Ⅲ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Ⅳ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vs </w:t>
            </w: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Ⅰ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Ⅱ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1.651 (0.763 - 3.576)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0.203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0.961 (0.420 - 2.195)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0.924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N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1-2 vs 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3.182 (1.622 - 6.244)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1.596 (0.212 - 12.005)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0.650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2.069 (0.280 - 15.287)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0.476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M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 vs 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10.093 (2.251 - 45.246)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5.042 (0.910 - 27.947)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Pathological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Ⅲ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Ⅳ</w:t>
            </w:r>
            <w:r w:rsidRPr="00C012EF">
              <w:rPr>
                <w:rFonts w:ascii="Times New Roman" w:eastAsia="Microsoft YaHei" w:hAnsi="Times New Roman" w:cs="Times New Roman"/>
                <w:color w:val="000000"/>
                <w:lang w:eastAsia="zh-CN"/>
              </w:rPr>
              <w:t xml:space="preserve"> vs 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Ⅰ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Ⅱ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3.123 (1.563 - 6.238)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1.418 (0.183 - 10.996)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0.738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1.404 (0.176 - 11.177)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0.749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FBXO43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high vs low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2.270 (1.194 - 4.315)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1.913 (0.982 - 3.728)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0.057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1.862 (0.963 - 3.600)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0.064</w:t>
            </w:r>
          </w:p>
        </w:tc>
      </w:tr>
    </w:tbl>
    <w:p w:rsidR="00516043" w:rsidRPr="00C012EF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</w:p>
    <w:p w:rsidR="00516043" w:rsidRPr="00C012EF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  <w:r w:rsidRPr="00C012EF">
        <w:rPr>
          <w:rFonts w:ascii="Times New Roman" w:eastAsia="Arial" w:hAnsi="Times New Roman" w:cs="Times New Roman"/>
          <w:color w:val="000000"/>
          <w:vertAlign w:val="superscript"/>
        </w:rPr>
        <w:t>a</w:t>
      </w:r>
      <w:r w:rsidRPr="00C012EF">
        <w:rPr>
          <w:rFonts w:ascii="Times New Roman" w:eastAsia="Arial" w:hAnsi="Times New Roman" w:cs="Times New Roman"/>
          <w:color w:val="000000"/>
        </w:rPr>
        <w:t>Model a included</w:t>
      </w:r>
      <w:r w:rsidRPr="00C012EF">
        <w:rPr>
          <w:rFonts w:ascii="Times New Roman" w:eastAsia="SimSun" w:hAnsi="Times New Roman" w:cs="Times New Roman"/>
          <w:color w:val="000000"/>
          <w:lang w:eastAsia="zh-CN"/>
        </w:rPr>
        <w:t xml:space="preserve"> vessel invasion,  nerve invasion, N stage, M stage,  pathological stage and FBXO43.</w:t>
      </w:r>
    </w:p>
    <w:p w:rsidR="00516043" w:rsidRPr="00C012EF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  <w:r w:rsidRPr="00C012EF">
        <w:rPr>
          <w:rFonts w:ascii="Times New Roman" w:eastAsia="SimSun" w:hAnsi="Times New Roman" w:cs="Times New Roman"/>
          <w:color w:val="000000"/>
          <w:vertAlign w:val="superscript"/>
          <w:lang w:eastAsia="zh-CN"/>
        </w:rPr>
        <w:t>b</w:t>
      </w:r>
      <w:r w:rsidRPr="00C012EF">
        <w:rPr>
          <w:rFonts w:ascii="Times New Roman" w:eastAsia="Arial" w:hAnsi="Times New Roman" w:cs="Times New Roman"/>
          <w:color w:val="000000"/>
        </w:rPr>
        <w:t xml:space="preserve">Model </w:t>
      </w:r>
      <w:r w:rsidRPr="00C012EF">
        <w:rPr>
          <w:rFonts w:ascii="Times New Roman" w:eastAsia="SimSun" w:hAnsi="Times New Roman" w:cs="Times New Roman"/>
          <w:color w:val="000000"/>
          <w:lang w:eastAsia="zh-CN"/>
        </w:rPr>
        <w:t>b</w:t>
      </w:r>
      <w:r w:rsidRPr="00C012EF">
        <w:rPr>
          <w:rFonts w:ascii="Times New Roman" w:eastAsia="Arial" w:hAnsi="Times New Roman" w:cs="Times New Roman"/>
          <w:color w:val="000000"/>
        </w:rPr>
        <w:t xml:space="preserve"> included</w:t>
      </w:r>
      <w:r w:rsidRPr="00C012EF">
        <w:rPr>
          <w:rFonts w:ascii="Times New Roman" w:eastAsia="SimSun" w:hAnsi="Times New Roman" w:cs="Times New Roman"/>
          <w:color w:val="000000"/>
          <w:lang w:eastAsia="zh-CN"/>
        </w:rPr>
        <w:t xml:space="preserve"> T stage, N stage, pathological stage and FBXO43.</w:t>
      </w:r>
    </w:p>
    <w:p w:rsidR="00516043" w:rsidRPr="00C012EF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</w:p>
    <w:sectPr w:rsidR="00516043" w:rsidRPr="00C012EF" w:rsidSect="005160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A8FF7"/>
    <w:multiLevelType w:val="singleLevel"/>
    <w:tmpl w:val="D17A8FF7"/>
    <w:lvl w:ilvl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6043"/>
    <w:rsid w:val="003A5E81"/>
    <w:rsid w:val="004D5722"/>
    <w:rsid w:val="00516043"/>
    <w:rsid w:val="0066616E"/>
    <w:rsid w:val="006D2339"/>
    <w:rsid w:val="00D13C42"/>
    <w:rsid w:val="00FC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43"/>
    <w:pPr>
      <w:spacing w:after="0" w:line="240" w:lineRule="auto"/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2023-07-06T19:09:00Z</dcterms:created>
  <dcterms:modified xsi:type="dcterms:W3CDTF">2023-07-15T08:11:00Z</dcterms:modified>
</cp:coreProperties>
</file>