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39" w:rsidRDefault="000023A6" w:rsidP="008A6B39">
      <w:pPr>
        <w:jc w:val="both"/>
      </w:pPr>
      <w:r>
        <w:rPr>
          <w:b/>
        </w:rPr>
        <w:t xml:space="preserve">Suppl </w:t>
      </w:r>
      <w:r w:rsidR="008A6B39">
        <w:rPr>
          <w:b/>
        </w:rPr>
        <w:t>3.</w:t>
      </w:r>
      <w:r w:rsidR="008A6B39">
        <w:t xml:space="preserve"> Breakdown of adenosquamous cases in SEER (1975-2020), both analyzed and not analyzed.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6063"/>
        <w:gridCol w:w="733"/>
        <w:gridCol w:w="784"/>
      </w:tblGrid>
      <w:tr w:rsidR="008A6B39" w:rsidRPr="00237AD9" w:rsidTr="007C712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Adenosquamous Carcinoma</w:t>
            </w:r>
            <w:r w:rsidRPr="00237AD9">
              <w:rPr>
                <w:b/>
                <w:bCs/>
                <w:sz w:val="18"/>
                <w:szCs w:val="18"/>
              </w:rPr>
              <w:t xml:space="preserve"> Cases in SEER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 xml:space="preserve"> (1975-20</w:t>
            </w:r>
            <w:r w:rsidRPr="00D0237E">
              <w:rPr>
                <w:b/>
                <w:bCs/>
                <w:sz w:val="18"/>
                <w:szCs w:val="18"/>
              </w:rPr>
              <w:t>20</w:t>
            </w:r>
            <w:r w:rsidRPr="00237AD9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SEER Site Recode</w:t>
            </w:r>
            <w:r w:rsidRPr="00D0237E">
              <w:rPr>
                <w:b/>
                <w:bCs/>
                <w:sz w:val="18"/>
                <w:szCs w:val="18"/>
              </w:rPr>
              <w:t xml:space="preserve"> </w:t>
            </w:r>
            <w:r w:rsidRPr="00237AD9">
              <w:rPr>
                <w:b/>
                <w:bCs/>
                <w:sz w:val="18"/>
                <w:szCs w:val="18"/>
              </w:rPr>
              <w:t>ICD-O-3/WHO 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% Total</w:t>
            </w:r>
          </w:p>
        </w:tc>
      </w:tr>
      <w:tr w:rsidR="008A6B39" w:rsidRPr="00237AD9" w:rsidTr="007C712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Sites Analyzed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b/>
                <w:bCs/>
                <w:sz w:val="18"/>
                <w:szCs w:val="18"/>
              </w:rPr>
            </w:pPr>
            <w:r w:rsidRPr="00100FF7">
              <w:rPr>
                <w:b/>
                <w:bCs/>
                <w:sz w:val="18"/>
                <w:szCs w:val="18"/>
              </w:rPr>
              <w:t>26,525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b/>
                <w:bCs/>
                <w:sz w:val="18"/>
                <w:szCs w:val="18"/>
              </w:rPr>
            </w:pPr>
            <w:r w:rsidRPr="00100FF7">
              <w:rPr>
                <w:b/>
                <w:bCs/>
                <w:sz w:val="18"/>
                <w:szCs w:val="18"/>
              </w:rPr>
              <w:t>92.7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37AD9">
              <w:rPr>
                <w:sz w:val="18"/>
                <w:szCs w:val="18"/>
              </w:rPr>
              <w:t>Lung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22030 (Lung and Bronchus)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Default="008A6B39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Uterus/Cervical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27020 (Corpus Uteri), 27030 (Uterus, NOS)</w:t>
            </w:r>
            <w:r>
              <w:rPr>
                <w:sz w:val="18"/>
                <w:szCs w:val="18"/>
              </w:rPr>
              <w:t xml:space="preserve">, </w:t>
            </w:r>
            <w:r w:rsidRPr="00237AD9">
              <w:rPr>
                <w:sz w:val="18"/>
                <w:szCs w:val="18"/>
              </w:rPr>
              <w:t>27010 (Cervix Uteri)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Pancreas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21100 (Pancreas)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Oral Cavity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20010 (Lip), 20020 (Tongue), 20030 (Salivary Gland), 20040 (Floor of Mouth), 20050 (Gum and Other Mouth), 20060 (Nasopharynx), 20070 (Tonsil), 20090 (Hypopharynx), 20100 (Other Oral Cavity and Pharynx)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 xml:space="preserve">  </w:t>
            </w:r>
            <w:r>
              <w:rPr>
                <w:sz w:val="18"/>
                <w:szCs w:val="18"/>
              </w:rPr>
              <w:t>Biliary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21071 (Liver), 21072 (Intrahepatic Bile Duct)</w:t>
            </w:r>
            <w:r>
              <w:rPr>
                <w:sz w:val="18"/>
                <w:szCs w:val="18"/>
              </w:rPr>
              <w:t xml:space="preserve">, </w:t>
            </w:r>
            <w:r w:rsidRPr="00237AD9">
              <w:rPr>
                <w:sz w:val="18"/>
                <w:szCs w:val="18"/>
              </w:rPr>
              <w:t>21080 (Gallbladder), 21090 (Other Biliary)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Esophagus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21010 (Esophagus)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Colorectal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21041 (Cecum), 21042 (Appendix)</w:t>
            </w:r>
            <w:r>
              <w:rPr>
                <w:sz w:val="18"/>
                <w:szCs w:val="18"/>
              </w:rPr>
              <w:t xml:space="preserve">, </w:t>
            </w:r>
            <w:r w:rsidRPr="00237AD9">
              <w:rPr>
                <w:sz w:val="18"/>
                <w:szCs w:val="18"/>
              </w:rPr>
              <w:t>21043, (Ascending Colon), 21044 (Hepatic Flexure), 21045 (Transverse Colon), 21046 (Splenic Flexure), 21047 (Descending Colon), 21048 (Sigmoid Colon), 21049 (Large Intestine, NOS)</w:t>
            </w:r>
            <w:r>
              <w:rPr>
                <w:sz w:val="18"/>
                <w:szCs w:val="18"/>
              </w:rPr>
              <w:t>,</w:t>
            </w:r>
            <w:r w:rsidRPr="00237AD9">
              <w:rPr>
                <w:sz w:val="18"/>
                <w:szCs w:val="18"/>
              </w:rPr>
              <w:t xml:space="preserve"> 21051 (Rectosigmoid Junction), 21052 (Rectum)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 xml:space="preserve">  </w:t>
            </w:r>
            <w:r>
              <w:rPr>
                <w:sz w:val="18"/>
                <w:szCs w:val="18"/>
              </w:rPr>
              <w:t>Gastric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21020 (Stomach)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8A6B39" w:rsidRPr="00237AD9" w:rsidTr="007C712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b/>
                <w:bCs/>
                <w:sz w:val="18"/>
                <w:szCs w:val="18"/>
              </w:rPr>
              <w:t>Sites Not Analyzed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b/>
                <w:bCs/>
                <w:sz w:val="18"/>
                <w:szCs w:val="18"/>
              </w:rPr>
            </w:pPr>
            <w:r w:rsidRPr="00382AF4">
              <w:rPr>
                <w:b/>
                <w:bCs/>
                <w:sz w:val="18"/>
                <w:szCs w:val="18"/>
              </w:rPr>
              <w:t>2,082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b/>
                <w:bCs/>
                <w:sz w:val="18"/>
                <w:szCs w:val="18"/>
              </w:rPr>
            </w:pPr>
            <w:r w:rsidRPr="00382AF4">
              <w:rPr>
                <w:b/>
                <w:bCs/>
                <w:sz w:val="18"/>
                <w:szCs w:val="18"/>
              </w:rPr>
              <w:t>7.3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Breast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26000 (Breast)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Ovary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27040 (Ovary)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Skin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25020 (Other Non-Epithelial Skin)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Respiratory</w:t>
            </w:r>
          </w:p>
          <w:p w:rsidR="008A6B39" w:rsidRPr="00237AD9" w:rsidRDefault="008A6B39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37AD9">
              <w:rPr>
                <w:sz w:val="18"/>
                <w:szCs w:val="18"/>
              </w:rPr>
              <w:t>System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22010 (Nose, Nasal Cavity and Middle Ear), 22020 (Larynx), 22060 (Trachea, Mediastinum and Other Respiratory Organs)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Female Genital </w:t>
            </w:r>
          </w:p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 System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27050 (Vagina), 27060 (Vulva), 27070 (Other Female Genital Organs)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  <w:tr w:rsidR="008A6B39" w:rsidRPr="00237AD9" w:rsidTr="007C7127">
        <w:trPr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Anus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21060 (Anus, Anal Canal and Anorectum)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Urinary</w:t>
            </w:r>
            <w:r>
              <w:rPr>
                <w:sz w:val="18"/>
                <w:szCs w:val="18"/>
              </w:rPr>
              <w:t xml:space="preserve"> </w:t>
            </w:r>
            <w:r w:rsidRPr="00237AD9">
              <w:rPr>
                <w:sz w:val="18"/>
                <w:szCs w:val="18"/>
              </w:rPr>
              <w:t>Bladder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29010 (Urinary Bladder)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Prostate 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28010 (Prostate)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Urinary System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29020 (Kidney and Renal Pelvis), 29030 (Ureter), 29040 (Other Urinary Groups)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lastRenderedPageBreak/>
              <w:t>  Small Bowel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21030 (Small Intestine)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Other Digestive 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21130 (Other Digestive Organs)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Endocrine System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32010 (Thyroid), 32020 (Other Endocrine including Thymus)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Eye and Orbit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30000 (Eye and Orbit)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Soft Tissue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24000 (Soft Tissue Including Heart)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Peritoneum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21110 (Retroperitoneum), 21120 (Peritoneum, Omentum and Mesentery)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Male Genital  </w:t>
            </w:r>
          </w:p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 System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28020 (Testis), 28030 (Penis), 28040 (Other Male Genital Organs)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8A6B39" w:rsidRPr="00237AD9" w:rsidTr="007C7127">
        <w:trPr>
          <w:trHeight w:val="68"/>
          <w:jc w:val="center"/>
        </w:trPr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  Miscellaneous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rPr>
                <w:sz w:val="18"/>
                <w:szCs w:val="18"/>
              </w:rPr>
            </w:pPr>
            <w:r w:rsidRPr="00237AD9">
              <w:rPr>
                <w:sz w:val="18"/>
                <w:szCs w:val="18"/>
              </w:rPr>
              <w:t>37000 (Miscellaneous)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B39" w:rsidRPr="00237AD9" w:rsidRDefault="008A6B39" w:rsidP="007C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</w:tbl>
    <w:p w:rsidR="008A6B39" w:rsidRDefault="008A6B39" w:rsidP="008A6B39"/>
    <w:p w:rsidR="00542BA1" w:rsidRDefault="00542BA1"/>
    <w:sectPr w:rsidR="00542BA1" w:rsidSect="00CB3570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27" w:rsidRDefault="00542BA1">
    <w:pPr>
      <w:jc w:val="right"/>
    </w:pPr>
    <w:r>
      <w:fldChar w:fldCharType="begin"/>
    </w:r>
    <w:r>
      <w:instrText>PAGE</w:instrText>
    </w:r>
    <w:r>
      <w:fldChar w:fldCharType="separate"/>
    </w:r>
    <w:r w:rsidR="000023A6"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70" w:rsidRPr="00CB3570" w:rsidRDefault="00542BA1">
    <w:pPr>
      <w:pStyle w:val="Header"/>
      <w:rPr>
        <w:lang w:val="en-US"/>
      </w:rPr>
    </w:pPr>
    <w:r>
      <w:rPr>
        <w:lang w:val="en-US"/>
      </w:rPr>
      <w:t xml:space="preserve">Epidemiology of Adenosquamous Carcinomas – Benesch, </w:t>
    </w:r>
    <w:r w:rsidRPr="00CB3570">
      <w:rPr>
        <w:i/>
        <w:iCs/>
        <w:lang w:val="en-US"/>
      </w:rPr>
      <w:t>et al.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8A6B39"/>
    <w:rsid w:val="000023A6"/>
    <w:rsid w:val="00542BA1"/>
    <w:rsid w:val="008A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B39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A6B39"/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2024-04-24T13:34:00Z</dcterms:created>
  <dcterms:modified xsi:type="dcterms:W3CDTF">2024-04-24T13:34:00Z</dcterms:modified>
</cp:coreProperties>
</file>